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240BB3B2" w:rsidR="00E66558" w:rsidRDefault="009D71E8">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226317">
        <w:t xml:space="preserve"> – </w:t>
      </w:r>
      <w:r w:rsidR="004B10AD">
        <w:t>Royd Nursery Infant School</w:t>
      </w:r>
    </w:p>
    <w:p w14:paraId="4EE876CB" w14:textId="77777777" w:rsidR="008E000B" w:rsidRDefault="008E000B" w:rsidP="00C62989"/>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207" w:type="pct"/>
        <w:tblCellMar>
          <w:left w:w="10" w:type="dxa"/>
          <w:right w:w="10" w:type="dxa"/>
        </w:tblCellMar>
        <w:tblLook w:val="04A0" w:firstRow="1" w:lastRow="0" w:firstColumn="1" w:lastColumn="0" w:noHBand="0" w:noVBand="1"/>
      </w:tblPr>
      <w:tblGrid>
        <w:gridCol w:w="10004"/>
        <w:gridCol w:w="5159"/>
      </w:tblGrid>
      <w:tr w:rsidR="00E66558" w14:paraId="2A7D54B7" w14:textId="77777777" w:rsidTr="00F97F0C">
        <w:tc>
          <w:tcPr>
            <w:tcW w:w="100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5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F97F0C">
        <w:tc>
          <w:tcPr>
            <w:tcW w:w="100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5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CA5940" w14:textId="778CE9B6" w:rsidR="00F97F0C" w:rsidRPr="00F97F0C" w:rsidRDefault="00F97F0C" w:rsidP="00F97F0C">
            <w:pPr>
              <w:pStyle w:val="TableRow"/>
              <w:rPr>
                <w:color w:val="000000" w:themeColor="text1"/>
              </w:rPr>
            </w:pPr>
            <w:r>
              <w:rPr>
                <w:color w:val="000000" w:themeColor="text1"/>
              </w:rPr>
              <w:t>E2 and FS1: 83</w:t>
            </w:r>
          </w:p>
          <w:p w14:paraId="2393227E" w14:textId="639FFB82" w:rsidR="00F97F0C" w:rsidRDefault="00F97F0C" w:rsidP="00F97F0C">
            <w:pPr>
              <w:pStyle w:val="TableRow"/>
              <w:rPr>
                <w:color w:val="000000" w:themeColor="text1"/>
              </w:rPr>
            </w:pPr>
            <w:r>
              <w:rPr>
                <w:color w:val="000000" w:themeColor="text1"/>
              </w:rPr>
              <w:t>FS2 and</w:t>
            </w:r>
            <w:r w:rsidRPr="00F97F0C">
              <w:rPr>
                <w:color w:val="000000" w:themeColor="text1"/>
              </w:rPr>
              <w:t xml:space="preserve"> KS1</w:t>
            </w:r>
            <w:r>
              <w:rPr>
                <w:color w:val="000000" w:themeColor="text1"/>
              </w:rPr>
              <w:t xml:space="preserve">: 126 </w:t>
            </w:r>
          </w:p>
          <w:p w14:paraId="2A7D54B9" w14:textId="007E1F37" w:rsidR="002940F3" w:rsidRPr="00F97F0C" w:rsidRDefault="00F97F0C" w:rsidP="00F97F0C">
            <w:pPr>
              <w:pStyle w:val="TableRow"/>
              <w:rPr>
                <w:color w:val="000000" w:themeColor="text1"/>
              </w:rPr>
            </w:pPr>
            <w:r>
              <w:rPr>
                <w:color w:val="000000" w:themeColor="text1"/>
              </w:rPr>
              <w:t xml:space="preserve">Total: 209 </w:t>
            </w:r>
          </w:p>
        </w:tc>
      </w:tr>
      <w:tr w:rsidR="002940F3" w14:paraId="2A7D54BD" w14:textId="77777777" w:rsidTr="00F97F0C">
        <w:tc>
          <w:tcPr>
            <w:tcW w:w="100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17D71787" w:rsidR="002940F3" w:rsidRDefault="00F97F0C">
            <w:pPr>
              <w:pStyle w:val="TableRow"/>
            </w:pPr>
            <w:r w:rsidRPr="00F97F0C">
              <w:t>Proportion (%) of pupil premium eligible pupils</w:t>
            </w:r>
          </w:p>
        </w:tc>
        <w:tc>
          <w:tcPr>
            <w:tcW w:w="5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88D71C" w14:textId="2E100FA7" w:rsidR="002940F3" w:rsidRDefault="00F97F0C">
            <w:pPr>
              <w:pStyle w:val="TableRow"/>
              <w:rPr>
                <w:color w:val="000000" w:themeColor="text1"/>
              </w:rPr>
            </w:pPr>
            <w:r>
              <w:rPr>
                <w:color w:val="000000" w:themeColor="text1"/>
              </w:rPr>
              <w:t>FSM 50 pupils or 23.9% (out of 209 pupils)</w:t>
            </w:r>
          </w:p>
          <w:p w14:paraId="302B7FCA" w14:textId="77777777" w:rsidR="00F97F0C" w:rsidRDefault="00F97F0C">
            <w:pPr>
              <w:pStyle w:val="TableRow"/>
              <w:rPr>
                <w:color w:val="000000" w:themeColor="text1"/>
              </w:rPr>
            </w:pPr>
            <w:r>
              <w:rPr>
                <w:color w:val="000000" w:themeColor="text1"/>
              </w:rPr>
              <w:t>EYPP 21 pupils or 25% (out of 83 pupils)</w:t>
            </w:r>
          </w:p>
          <w:p w14:paraId="2A7D54BC" w14:textId="104D5BFC" w:rsidR="00F97F0C" w:rsidRPr="00F97F0C" w:rsidRDefault="00F97F0C">
            <w:pPr>
              <w:pStyle w:val="TableRow"/>
              <w:rPr>
                <w:color w:val="000000" w:themeColor="text1"/>
              </w:rPr>
            </w:pPr>
            <w:r>
              <w:rPr>
                <w:color w:val="000000" w:themeColor="text1"/>
              </w:rPr>
              <w:t>PP 21 pupils or 16% (out of 126 pupils)</w:t>
            </w:r>
          </w:p>
        </w:tc>
      </w:tr>
      <w:tr w:rsidR="002940F3" w14:paraId="2A7D54C0" w14:textId="77777777" w:rsidTr="00F97F0C">
        <w:tc>
          <w:tcPr>
            <w:tcW w:w="100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(3 year plans are recommended)</w:t>
            </w:r>
          </w:p>
        </w:tc>
        <w:tc>
          <w:tcPr>
            <w:tcW w:w="5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32C918FE" w:rsidR="002940F3" w:rsidRDefault="004B10AD">
            <w:pPr>
              <w:pStyle w:val="TableRow"/>
            </w:pPr>
            <w:r>
              <w:t>202</w:t>
            </w:r>
            <w:r w:rsidR="00F418CA">
              <w:t>3</w:t>
            </w:r>
            <w:r>
              <w:t xml:space="preserve"> - 202</w:t>
            </w:r>
            <w:r w:rsidR="00F418CA">
              <w:t>6</w:t>
            </w:r>
          </w:p>
        </w:tc>
      </w:tr>
      <w:tr w:rsidR="002940F3" w14:paraId="2A7D54C3" w14:textId="77777777" w:rsidTr="00F97F0C">
        <w:tc>
          <w:tcPr>
            <w:tcW w:w="100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5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461F4FCA" w:rsidR="002940F3" w:rsidRDefault="004B10AD">
            <w:pPr>
              <w:pStyle w:val="TableRow"/>
            </w:pPr>
            <w:r>
              <w:t>10</w:t>
            </w:r>
            <w:r w:rsidRPr="004B10AD">
              <w:rPr>
                <w:vertAlign w:val="superscript"/>
              </w:rPr>
              <w:t>th</w:t>
            </w:r>
            <w:r>
              <w:t xml:space="preserve"> September 202</w:t>
            </w:r>
            <w:r w:rsidR="00F418CA">
              <w:t>3</w:t>
            </w:r>
          </w:p>
        </w:tc>
      </w:tr>
      <w:tr w:rsidR="002940F3" w14:paraId="2A7D54C6" w14:textId="77777777" w:rsidTr="00F97F0C">
        <w:tc>
          <w:tcPr>
            <w:tcW w:w="100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5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7E5879D5" w:rsidR="002940F3" w:rsidRDefault="004B10AD">
            <w:pPr>
              <w:pStyle w:val="TableRow"/>
            </w:pPr>
            <w:r>
              <w:t>10</w:t>
            </w:r>
            <w:r w:rsidRPr="004B10AD">
              <w:rPr>
                <w:vertAlign w:val="superscript"/>
              </w:rPr>
              <w:t>th</w:t>
            </w:r>
            <w:r>
              <w:t xml:space="preserve"> September 202</w:t>
            </w:r>
            <w:r w:rsidR="00F418CA">
              <w:t>6</w:t>
            </w:r>
          </w:p>
        </w:tc>
      </w:tr>
      <w:tr w:rsidR="002940F3" w14:paraId="2A7D54C9" w14:textId="77777777" w:rsidTr="00F97F0C">
        <w:tc>
          <w:tcPr>
            <w:tcW w:w="100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5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36FD75CC" w:rsidR="002940F3" w:rsidRDefault="004B10AD">
            <w:pPr>
              <w:pStyle w:val="TableRow"/>
            </w:pPr>
            <w:r>
              <w:t>Louise Jones</w:t>
            </w:r>
          </w:p>
        </w:tc>
      </w:tr>
      <w:tr w:rsidR="002940F3" w14:paraId="2A7D54CC" w14:textId="77777777" w:rsidTr="00F97F0C">
        <w:tc>
          <w:tcPr>
            <w:tcW w:w="100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5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3F337A51" w:rsidR="002940F3" w:rsidRDefault="004B10AD">
            <w:pPr>
              <w:pStyle w:val="TableRow"/>
            </w:pPr>
            <w:r>
              <w:t xml:space="preserve">Sean Sly </w:t>
            </w:r>
          </w:p>
        </w:tc>
      </w:tr>
      <w:tr w:rsidR="002940F3" w14:paraId="2A7D54CF" w14:textId="77777777" w:rsidTr="00F97F0C">
        <w:tc>
          <w:tcPr>
            <w:tcW w:w="100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5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7A4BFFEF" w:rsidR="002940F3" w:rsidRDefault="00081283">
            <w:pPr>
              <w:pStyle w:val="TableRow"/>
            </w:pPr>
            <w:r>
              <w:t>Faye Chapman</w:t>
            </w:r>
            <w:r w:rsidR="004B10AD">
              <w:t xml:space="preserve"> </w:t>
            </w:r>
          </w:p>
        </w:tc>
      </w:tr>
      <w:bookmarkEnd w:id="2"/>
      <w:bookmarkEnd w:id="3"/>
      <w:bookmarkEnd w:id="4"/>
    </w:tbl>
    <w:p w14:paraId="5E5859A1" w14:textId="77777777" w:rsidR="00F418CA" w:rsidRDefault="00F418CA" w:rsidP="005464A1">
      <w:pPr>
        <w:pStyle w:val="Heading2"/>
      </w:pPr>
    </w:p>
    <w:p w14:paraId="2A7D54D3" w14:textId="2D6A33F7" w:rsidR="00E66558" w:rsidRPr="005464A1" w:rsidRDefault="009D71E8" w:rsidP="005464A1">
      <w:pPr>
        <w:pStyle w:val="Heading2"/>
      </w:pPr>
      <w:r>
        <w:t>Funding overview</w:t>
      </w:r>
    </w:p>
    <w:tbl>
      <w:tblPr>
        <w:tblW w:w="14454" w:type="dxa"/>
        <w:tblCellMar>
          <w:left w:w="10" w:type="dxa"/>
          <w:right w:w="10" w:type="dxa"/>
        </w:tblCellMar>
        <w:tblLook w:val="04A0" w:firstRow="1" w:lastRow="0" w:firstColumn="1" w:lastColumn="0" w:noHBand="0" w:noVBand="1"/>
      </w:tblPr>
      <w:tblGrid>
        <w:gridCol w:w="11619"/>
        <w:gridCol w:w="2835"/>
      </w:tblGrid>
      <w:tr w:rsidR="00E66558" w14:paraId="2A7D54D6" w14:textId="77777777" w:rsidTr="004A2348">
        <w:trPr>
          <w:trHeight w:val="374"/>
        </w:trPr>
        <w:tc>
          <w:tcPr>
            <w:tcW w:w="116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4A2348">
        <w:trPr>
          <w:trHeight w:val="374"/>
        </w:trPr>
        <w:tc>
          <w:tcPr>
            <w:tcW w:w="116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7EC4C6E" w:rsidR="00E66558" w:rsidRDefault="00F418CA">
            <w:pPr>
              <w:pStyle w:val="TableRow"/>
            </w:pPr>
            <w:r>
              <w:t>£48,450</w:t>
            </w:r>
          </w:p>
        </w:tc>
      </w:tr>
      <w:tr w:rsidR="00E66558" w14:paraId="2A7D54DC" w14:textId="77777777" w:rsidTr="004A2348">
        <w:trPr>
          <w:trHeight w:val="374"/>
        </w:trPr>
        <w:tc>
          <w:tcPr>
            <w:tcW w:w="116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35C3FF70" w:rsidR="00E66558" w:rsidRDefault="00E877FD">
            <w:pPr>
              <w:pStyle w:val="TableRow"/>
            </w:pPr>
            <w:r>
              <w:rPr>
                <w:color w:val="FF0000"/>
              </w:rPr>
              <w:t>X</w:t>
            </w:r>
          </w:p>
        </w:tc>
      </w:tr>
      <w:tr w:rsidR="00E66558" w14:paraId="2A7D54DF" w14:textId="77777777" w:rsidTr="004A2348">
        <w:trPr>
          <w:trHeight w:val="374"/>
        </w:trPr>
        <w:tc>
          <w:tcPr>
            <w:tcW w:w="116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2689C846" w:rsidR="001E206F" w:rsidRPr="00586FBC" w:rsidRDefault="001E206F">
            <w:pPr>
              <w:pStyle w:val="TableRow"/>
              <w:rPr>
                <w:i/>
                <w:iCs/>
              </w:rPr>
            </w:pPr>
            <w:r w:rsidRPr="00586FBC">
              <w:rPr>
                <w:i/>
                <w:iCs/>
              </w:rPr>
              <w:t>*</w:t>
            </w:r>
            <w:r w:rsidR="00C01857">
              <w:t xml:space="preserve"> </w:t>
            </w:r>
            <w:r w:rsidR="00C01857" w:rsidRPr="00C01857">
              <w:rPr>
                <w:i/>
                <w:iCs/>
              </w:rPr>
              <w:t>Recovery premium received in academic year 2023/24 cannot be carried forward beyond August 31, 2024.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56D10F68" w:rsidR="00E66558" w:rsidRDefault="009D71E8">
            <w:pPr>
              <w:pStyle w:val="TableRow"/>
            </w:pPr>
            <w:r>
              <w:t>£</w:t>
            </w:r>
            <w:r w:rsidR="004B10AD">
              <w:t>0</w:t>
            </w:r>
          </w:p>
        </w:tc>
      </w:tr>
      <w:tr w:rsidR="00E66558" w14:paraId="2A7D54E3" w14:textId="77777777" w:rsidTr="004A2348">
        <w:tc>
          <w:tcPr>
            <w:tcW w:w="116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6BA18092" w:rsidR="00E66558" w:rsidRDefault="00F418CA">
            <w:pPr>
              <w:pStyle w:val="TableRow"/>
            </w:pPr>
            <w:r>
              <w:t>£48,450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14879" w:type="dxa"/>
        <w:tblCellMar>
          <w:left w:w="10" w:type="dxa"/>
          <w:right w:w="10" w:type="dxa"/>
        </w:tblCellMar>
        <w:tblLook w:val="04A0" w:firstRow="1" w:lastRow="0" w:firstColumn="1" w:lastColumn="0" w:noHBand="0" w:noVBand="1"/>
      </w:tblPr>
      <w:tblGrid>
        <w:gridCol w:w="14879"/>
      </w:tblGrid>
      <w:tr w:rsidR="00E66558" w14:paraId="2A7D54EA" w14:textId="77777777" w:rsidTr="004A2348">
        <w:tc>
          <w:tcPr>
            <w:tcW w:w="1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68EAD" w14:textId="13A3BEAC" w:rsidR="004B10AD" w:rsidRPr="004B10AD" w:rsidRDefault="004B10AD" w:rsidP="004B10AD">
            <w:pPr>
              <w:rPr>
                <w:iCs/>
              </w:rPr>
            </w:pPr>
            <w:r w:rsidRPr="004B10AD">
              <w:rPr>
                <w:iCs/>
              </w:rPr>
              <w:t>Our aim is to use pupil premium funding to sustain higher attainment for all pupils. We</w:t>
            </w:r>
            <w:r w:rsidR="004A2348">
              <w:rPr>
                <w:iCs/>
              </w:rPr>
              <w:t xml:space="preserve"> </w:t>
            </w:r>
            <w:r w:rsidRPr="004B10AD">
              <w:rPr>
                <w:iCs/>
              </w:rPr>
              <w:t>aim to have provision that is fluid and child-led alongside research-based interventions</w:t>
            </w:r>
            <w:r w:rsidR="004A2348">
              <w:rPr>
                <w:iCs/>
              </w:rPr>
              <w:t xml:space="preserve"> </w:t>
            </w:r>
            <w:r w:rsidRPr="004B10AD">
              <w:rPr>
                <w:iCs/>
              </w:rPr>
              <w:t>to address gaps in learning for individual pupils.</w:t>
            </w:r>
            <w:r w:rsidR="004A2348">
              <w:rPr>
                <w:iCs/>
              </w:rPr>
              <w:t xml:space="preserve"> </w:t>
            </w:r>
            <w:r w:rsidRPr="004B10AD">
              <w:rPr>
                <w:iCs/>
              </w:rPr>
              <w:t>We also aim to ensure that all pupils have a true sense of belonging to our school and</w:t>
            </w:r>
            <w:r w:rsidR="004A2348">
              <w:rPr>
                <w:iCs/>
              </w:rPr>
              <w:t xml:space="preserve"> </w:t>
            </w:r>
            <w:r w:rsidRPr="004B10AD">
              <w:rPr>
                <w:iCs/>
              </w:rPr>
              <w:t>develop positive attitudes to learning to enable them to succeed in education in primary</w:t>
            </w:r>
            <w:r w:rsidR="004A2348">
              <w:rPr>
                <w:iCs/>
              </w:rPr>
              <w:t xml:space="preserve"> </w:t>
            </w:r>
            <w:r w:rsidRPr="004B10AD">
              <w:rPr>
                <w:iCs/>
              </w:rPr>
              <w:t>school and beyond. Leaders consider ways in which all pupils receive a broad and</w:t>
            </w:r>
            <w:r w:rsidR="004A2348">
              <w:rPr>
                <w:iCs/>
              </w:rPr>
              <w:t xml:space="preserve"> </w:t>
            </w:r>
            <w:r w:rsidRPr="004B10AD">
              <w:rPr>
                <w:iCs/>
              </w:rPr>
              <w:t>balanced curriculum, have access to extra-curricular activities and have opportunities</w:t>
            </w:r>
            <w:r w:rsidR="004A2348">
              <w:rPr>
                <w:iCs/>
              </w:rPr>
              <w:t xml:space="preserve"> </w:t>
            </w:r>
            <w:r w:rsidRPr="004B10AD">
              <w:rPr>
                <w:iCs/>
              </w:rPr>
              <w:t>to broaden their knowledge, skills and awareness of their local and wider context</w:t>
            </w:r>
            <w:r w:rsidR="004A2348">
              <w:rPr>
                <w:iCs/>
              </w:rPr>
              <w:t xml:space="preserve">. </w:t>
            </w:r>
          </w:p>
          <w:p w14:paraId="185C7D95" w14:textId="77777777" w:rsidR="004B10AD" w:rsidRPr="004B10AD" w:rsidRDefault="004B10AD" w:rsidP="004B10AD">
            <w:pPr>
              <w:rPr>
                <w:iCs/>
              </w:rPr>
            </w:pPr>
            <w:r w:rsidRPr="004B10AD">
              <w:rPr>
                <w:iCs/>
              </w:rPr>
              <w:t>Key Objectives</w:t>
            </w:r>
          </w:p>
          <w:p w14:paraId="2F4A84FD" w14:textId="77777777" w:rsidR="004B10AD" w:rsidRPr="004B10AD" w:rsidRDefault="004B10AD" w:rsidP="004B10AD">
            <w:pPr>
              <w:rPr>
                <w:iCs/>
              </w:rPr>
            </w:pPr>
            <w:r w:rsidRPr="004B10AD">
              <w:rPr>
                <w:iCs/>
              </w:rPr>
              <w:t>• Raising standards for eligible pupils to close the gap on national outcomes</w:t>
            </w:r>
          </w:p>
          <w:p w14:paraId="21DEE7D6" w14:textId="42B506F9" w:rsidR="004B10AD" w:rsidRPr="004B10AD" w:rsidRDefault="004B10AD" w:rsidP="004B10AD">
            <w:pPr>
              <w:rPr>
                <w:iCs/>
              </w:rPr>
            </w:pPr>
            <w:r w:rsidRPr="004B10AD">
              <w:rPr>
                <w:iCs/>
              </w:rPr>
              <w:t>• Overcoming the learning barriers of all pupils, with a particular focus on SEMH</w:t>
            </w:r>
            <w:r w:rsidR="004A2348">
              <w:rPr>
                <w:iCs/>
              </w:rPr>
              <w:t xml:space="preserve"> </w:t>
            </w:r>
            <w:r w:rsidRPr="004B10AD">
              <w:rPr>
                <w:iCs/>
              </w:rPr>
              <w:t>and disadvantaged</w:t>
            </w:r>
          </w:p>
          <w:p w14:paraId="7F70BDC7" w14:textId="77777777" w:rsidR="004B10AD" w:rsidRPr="004B10AD" w:rsidRDefault="004B10AD" w:rsidP="004B10AD">
            <w:pPr>
              <w:rPr>
                <w:iCs/>
              </w:rPr>
            </w:pPr>
            <w:r w:rsidRPr="004B10AD">
              <w:rPr>
                <w:iCs/>
              </w:rPr>
              <w:t>• Improving and maintaining the quality of teaching for all pupils</w:t>
            </w:r>
          </w:p>
          <w:p w14:paraId="232D6E9C" w14:textId="77777777" w:rsidR="004B10AD" w:rsidRPr="004B10AD" w:rsidRDefault="004B10AD" w:rsidP="004B10AD">
            <w:pPr>
              <w:rPr>
                <w:iCs/>
              </w:rPr>
            </w:pPr>
            <w:r w:rsidRPr="004B10AD">
              <w:rPr>
                <w:iCs/>
              </w:rPr>
              <w:t>• Maximising the engagement and readiness to learn for all pupils</w:t>
            </w:r>
          </w:p>
          <w:p w14:paraId="20F91F21" w14:textId="77777777" w:rsidR="004B10AD" w:rsidRPr="004B10AD" w:rsidRDefault="004B10AD" w:rsidP="004B10AD">
            <w:pPr>
              <w:rPr>
                <w:iCs/>
              </w:rPr>
            </w:pPr>
            <w:r w:rsidRPr="004B10AD">
              <w:rPr>
                <w:iCs/>
              </w:rPr>
              <w:t>• Increasing the attendance of persistent absence of all pupils</w:t>
            </w:r>
          </w:p>
          <w:p w14:paraId="2A7D54E9" w14:textId="08698622" w:rsidR="00E66558" w:rsidRPr="004B10AD" w:rsidRDefault="004B10AD" w:rsidP="004A2348">
            <w:pPr>
              <w:rPr>
                <w:i/>
                <w:iCs/>
              </w:rPr>
            </w:pPr>
            <w:r w:rsidRPr="004B10AD">
              <w:rPr>
                <w:iCs/>
              </w:rPr>
              <w:t>A significant amount of the funding is being spent on staffing costs. As a school, we</w:t>
            </w:r>
            <w:r w:rsidR="004A2348">
              <w:rPr>
                <w:iCs/>
              </w:rPr>
              <w:t xml:space="preserve"> </w:t>
            </w:r>
            <w:r w:rsidRPr="004B10AD">
              <w:rPr>
                <w:iCs/>
              </w:rPr>
              <w:t>believe that timely and appropriate additional input from skilled professionals is the</w:t>
            </w:r>
            <w:r w:rsidR="004A2348">
              <w:rPr>
                <w:iCs/>
              </w:rPr>
              <w:t xml:space="preserve"> </w:t>
            </w:r>
            <w:r w:rsidRPr="004B10AD">
              <w:rPr>
                <w:iCs/>
              </w:rPr>
              <w:t>best method of diminishing the differences in terms of knowledge and</w:t>
            </w:r>
            <w:r w:rsidR="004A2348">
              <w:rPr>
                <w:iCs/>
              </w:rPr>
              <w:t xml:space="preserve"> </w:t>
            </w:r>
            <w:r w:rsidRPr="004B10AD">
              <w:rPr>
                <w:iCs/>
              </w:rPr>
              <w:t>understanding between different groups.</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2267"/>
        <w:gridCol w:w="12293"/>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008A840" w:rsidR="00E66558" w:rsidRDefault="00261F21" w:rsidP="0067688E">
            <w:pPr>
              <w:pStyle w:val="TableRowCentered"/>
              <w:ind w:left="0"/>
              <w:jc w:val="left"/>
            </w:pPr>
            <w:r>
              <w:t>Some disadvantaged pupils attaining less well and gaps in learning are</w:t>
            </w:r>
            <w:r w:rsidR="0067688E">
              <w:t xml:space="preserve"> </w:t>
            </w:r>
            <w:r>
              <w:t>hindering progress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3F2F55A" w:rsidR="00E66558" w:rsidRDefault="00B225FE" w:rsidP="006F6961">
            <w:pPr>
              <w:pStyle w:val="TableRowCentered"/>
              <w:jc w:val="left"/>
              <w:rPr>
                <w:sz w:val="22"/>
                <w:szCs w:val="22"/>
              </w:rPr>
            </w:pPr>
            <w:r w:rsidRPr="00B225FE">
              <w:rPr>
                <w:szCs w:val="24"/>
              </w:rPr>
              <w:t xml:space="preserve">Some pupils are </w:t>
            </w:r>
            <w:r w:rsidR="00333DB1">
              <w:rPr>
                <w:szCs w:val="24"/>
              </w:rPr>
              <w:t xml:space="preserve">persistent absentees or are </w:t>
            </w:r>
            <w:r w:rsidRPr="00B225FE">
              <w:rPr>
                <w:szCs w:val="24"/>
              </w:rPr>
              <w:t xml:space="preserve">at risk of becoming persistent absentees </w:t>
            </w:r>
            <w:r w:rsidR="00290C51" w:rsidRPr="0076775C">
              <w:rPr>
                <w:color w:val="000000" w:themeColor="text1"/>
                <w:szCs w:val="24"/>
              </w:rPr>
              <w:t xml:space="preserve">- </w:t>
            </w:r>
            <w:r w:rsidRPr="0076775C">
              <w:rPr>
                <w:color w:val="000000" w:themeColor="text1"/>
                <w:szCs w:val="24"/>
              </w:rPr>
              <w:t>having less than 90%</w:t>
            </w:r>
            <w:r w:rsidR="00333DB1" w:rsidRPr="0076775C">
              <w:rPr>
                <w:color w:val="000000" w:themeColor="text1"/>
                <w:szCs w:val="24"/>
              </w:rPr>
              <w:t xml:space="preserve"> </w:t>
            </w:r>
            <w:r w:rsidRPr="0076775C">
              <w:rPr>
                <w:color w:val="000000" w:themeColor="text1"/>
                <w:szCs w:val="24"/>
              </w:rPr>
              <w:t>attendance</w:t>
            </w:r>
            <w:r w:rsidR="006F6961" w:rsidRPr="0076775C">
              <w:rPr>
                <w:color w:val="000000" w:themeColor="text1"/>
                <w:szCs w:val="24"/>
              </w:rPr>
              <w:t xml:space="preserve"> (*2</w:t>
            </w:r>
            <w:r w:rsidR="00290C51" w:rsidRPr="0076775C">
              <w:rPr>
                <w:color w:val="000000" w:themeColor="text1"/>
                <w:szCs w:val="24"/>
              </w:rPr>
              <w:t xml:space="preserve"> out of 2</w:t>
            </w:r>
            <w:r w:rsidR="006F6961" w:rsidRPr="0076775C">
              <w:rPr>
                <w:color w:val="000000" w:themeColor="text1"/>
                <w:szCs w:val="24"/>
              </w:rPr>
              <w:t>1 pupils, 9.5</w:t>
            </w:r>
            <w:r w:rsidR="00290C51" w:rsidRPr="0076775C">
              <w:rPr>
                <w:color w:val="000000" w:themeColor="text1"/>
                <w:szCs w:val="24"/>
              </w:rPr>
              <w:t>% are persistent absentees. 1</w:t>
            </w:r>
            <w:r w:rsidR="006F6961" w:rsidRPr="0076775C">
              <w:rPr>
                <w:color w:val="000000" w:themeColor="text1"/>
                <w:szCs w:val="24"/>
              </w:rPr>
              <w:t>5</w:t>
            </w:r>
            <w:r w:rsidR="00290C51" w:rsidRPr="0076775C">
              <w:rPr>
                <w:color w:val="000000" w:themeColor="text1"/>
                <w:szCs w:val="24"/>
              </w:rPr>
              <w:t xml:space="preserve"> out of 2</w:t>
            </w:r>
            <w:r w:rsidR="006F6961" w:rsidRPr="0076775C">
              <w:rPr>
                <w:color w:val="000000" w:themeColor="text1"/>
                <w:szCs w:val="24"/>
              </w:rPr>
              <w:t>1 pupils, 71</w:t>
            </w:r>
            <w:r w:rsidR="00290C51" w:rsidRPr="0076775C">
              <w:rPr>
                <w:color w:val="000000" w:themeColor="text1"/>
                <w:szCs w:val="24"/>
              </w:rPr>
              <w:t xml:space="preserve">% are below the school attendance target of 96.5%).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8AE2E9A" w:rsidR="00E66558" w:rsidRDefault="00B225FE" w:rsidP="00290C51">
            <w:pPr>
              <w:pStyle w:val="TableRowCentered"/>
              <w:jc w:val="left"/>
              <w:rPr>
                <w:sz w:val="22"/>
                <w:szCs w:val="22"/>
              </w:rPr>
            </w:pPr>
            <w:r>
              <w:t>Mental health and social and emotional</w:t>
            </w:r>
            <w:r w:rsidR="00D31EA5">
              <w:t xml:space="preserve"> (wellbeing)</w:t>
            </w:r>
            <w:r>
              <w:t xml:space="preserve"> needs can cause a negative</w:t>
            </w:r>
            <w:r w:rsidR="00290C51">
              <w:t xml:space="preserve"> </w:t>
            </w:r>
            <w:r>
              <w:t>impact on progress and attainment</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74F09A2" w:rsidR="00E66558" w:rsidRPr="006F6961" w:rsidRDefault="00B225FE" w:rsidP="006F6961">
            <w:pPr>
              <w:pStyle w:val="TableRowCentered"/>
              <w:jc w:val="left"/>
              <w:rPr>
                <w:iCs/>
                <w:color w:val="000000" w:themeColor="text1"/>
                <w:sz w:val="22"/>
              </w:rPr>
            </w:pPr>
            <w:r w:rsidRPr="006F6961">
              <w:rPr>
                <w:color w:val="000000" w:themeColor="text1"/>
              </w:rPr>
              <w:t>Some pupils eligible for Pupil Premium have additional vulnerabilities</w:t>
            </w:r>
            <w:r w:rsidR="00290C51" w:rsidRPr="006F6961">
              <w:rPr>
                <w:color w:val="000000" w:themeColor="text1"/>
              </w:rPr>
              <w:t xml:space="preserve"> (*</w:t>
            </w:r>
            <w:r w:rsidR="006F6961" w:rsidRPr="006F6961">
              <w:rPr>
                <w:color w:val="000000" w:themeColor="text1"/>
              </w:rPr>
              <w:t>9</w:t>
            </w:r>
            <w:r w:rsidR="00290C51" w:rsidRPr="006F6961">
              <w:rPr>
                <w:color w:val="000000" w:themeColor="text1"/>
              </w:rPr>
              <w:t xml:space="preserve"> out of 2</w:t>
            </w:r>
            <w:r w:rsidR="006F6961" w:rsidRPr="006F6961">
              <w:rPr>
                <w:color w:val="000000" w:themeColor="text1"/>
              </w:rPr>
              <w:t>1</w:t>
            </w:r>
            <w:r w:rsidR="00290C51" w:rsidRPr="006F6961">
              <w:rPr>
                <w:color w:val="000000" w:themeColor="text1"/>
              </w:rPr>
              <w:t xml:space="preserve"> pupils, 4</w:t>
            </w:r>
            <w:r w:rsidR="006F6961" w:rsidRPr="006F6961">
              <w:rPr>
                <w:color w:val="000000" w:themeColor="text1"/>
              </w:rPr>
              <w:t>2.8</w:t>
            </w:r>
            <w:r w:rsidR="00290C51" w:rsidRPr="006F6961">
              <w:rPr>
                <w:color w:val="000000" w:themeColor="text1"/>
              </w:rPr>
              <w:t xml:space="preserve">% SEND). </w:t>
            </w:r>
          </w:p>
        </w:tc>
      </w:tr>
      <w:tr w:rsidR="00290C51" w14:paraId="0A227A49" w14:textId="77777777" w:rsidTr="00A62E63">
        <w:tc>
          <w:tcPr>
            <w:tcW w:w="9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5DE29" w14:textId="77777777" w:rsidR="00290C51" w:rsidRDefault="00290C51" w:rsidP="00290C51">
            <w:pPr>
              <w:pStyle w:val="TableRowCentered"/>
              <w:jc w:val="left"/>
            </w:pPr>
          </w:p>
          <w:p w14:paraId="2999A5D6" w14:textId="38648BFD" w:rsidR="00290C51" w:rsidRDefault="00290C51" w:rsidP="00290C51">
            <w:pPr>
              <w:pStyle w:val="TableRowCentered"/>
              <w:jc w:val="left"/>
            </w:pPr>
            <w:r>
              <w:t xml:space="preserve">*Figures accurate </w:t>
            </w:r>
            <w:r w:rsidR="004B6270">
              <w:t>September 2024</w:t>
            </w:r>
            <w:r>
              <w:t xml:space="preserve">. </w:t>
            </w:r>
          </w:p>
          <w:p w14:paraId="284C1731" w14:textId="632550CD" w:rsidR="00290C51" w:rsidRDefault="00290C51" w:rsidP="00290C51">
            <w:pPr>
              <w:pStyle w:val="TableRowCentered"/>
              <w:jc w:val="left"/>
            </w:pPr>
          </w:p>
        </w:tc>
      </w:tr>
    </w:tbl>
    <w:p w14:paraId="2A7D54FF" w14:textId="31C3975F" w:rsidR="00E66558" w:rsidRDefault="009D71E8">
      <w:pPr>
        <w:pStyle w:val="Heading2"/>
        <w:spacing w:before="600"/>
      </w:pPr>
      <w:bookmarkStart w:id="17"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7391"/>
        <w:gridCol w:w="7169"/>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D31EA5" w14:paraId="2A7D5506" w14:textId="77777777" w:rsidTr="00A62E6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2846C09B" w:rsidR="00D31EA5" w:rsidRDefault="00D31EA5" w:rsidP="00D31EA5">
            <w:pPr>
              <w:pStyle w:val="TableRow"/>
            </w:pPr>
            <w:r w:rsidRPr="00E27862">
              <w:rPr>
                <w:rFonts w:cs="Arial"/>
                <w:color w:val="auto"/>
              </w:rPr>
              <w:t xml:space="preserve">Improved </w:t>
            </w:r>
            <w:r>
              <w:rPr>
                <w:rFonts w:cs="Arial"/>
                <w:color w:val="auto"/>
              </w:rPr>
              <w:t>phonics</w:t>
            </w:r>
            <w:r w:rsidRPr="00E27862">
              <w:rPr>
                <w:rFonts w:cs="Arial"/>
                <w:color w:val="auto"/>
              </w:rPr>
              <w:t xml:space="preserve"> attainment among disadvantaged pupils.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16E45E9B" w:rsidR="00D31EA5" w:rsidRDefault="00D31EA5" w:rsidP="00D31EA5">
            <w:pPr>
              <w:pStyle w:val="TableRowCentered"/>
              <w:jc w:val="left"/>
              <w:rPr>
                <w:sz w:val="22"/>
                <w:szCs w:val="22"/>
              </w:rPr>
            </w:pPr>
            <w:r w:rsidRPr="00E27862">
              <w:rPr>
                <w:rFonts w:cs="Arial"/>
                <w:color w:val="auto"/>
              </w:rPr>
              <w:t>KS</w:t>
            </w:r>
            <w:r>
              <w:rPr>
                <w:rFonts w:cs="Arial"/>
                <w:color w:val="auto"/>
              </w:rPr>
              <w:t>1</w:t>
            </w:r>
            <w:r w:rsidRPr="00E27862">
              <w:rPr>
                <w:rFonts w:cs="Arial"/>
                <w:color w:val="auto"/>
                <w:lang w:eastAsia="en-US"/>
              </w:rPr>
              <w:t xml:space="preserve"> reading outcomes in 202</w:t>
            </w:r>
            <w:r w:rsidR="00AA5872">
              <w:rPr>
                <w:rFonts w:cs="Arial"/>
                <w:color w:val="auto"/>
                <w:lang w:eastAsia="en-US"/>
              </w:rPr>
              <w:t>5</w:t>
            </w:r>
            <w:r w:rsidRPr="00E27862">
              <w:rPr>
                <w:rFonts w:cs="Arial"/>
                <w:color w:val="auto"/>
                <w:lang w:eastAsia="en-US"/>
              </w:rPr>
              <w:t>/2</w:t>
            </w:r>
            <w:r w:rsidR="00AA5872">
              <w:rPr>
                <w:rFonts w:cs="Arial"/>
                <w:color w:val="auto"/>
                <w:lang w:eastAsia="en-US"/>
              </w:rPr>
              <w:t>6</w:t>
            </w:r>
            <w:r w:rsidRPr="00E27862">
              <w:rPr>
                <w:rFonts w:cs="Arial"/>
                <w:color w:val="auto"/>
                <w:lang w:eastAsia="en-US"/>
              </w:rPr>
              <w:t xml:space="preserve"> show that more than </w:t>
            </w:r>
            <w:r w:rsidR="00AA5872">
              <w:rPr>
                <w:rFonts w:cs="Arial"/>
                <w:color w:val="auto"/>
                <w:lang w:eastAsia="en-US"/>
              </w:rPr>
              <w:t>6</w:t>
            </w:r>
            <w:r w:rsidR="00AA5872">
              <w:rPr>
                <w:rFonts w:cs="Arial"/>
                <w:lang w:eastAsia="en-US"/>
              </w:rPr>
              <w:t>7</w:t>
            </w:r>
            <w:r w:rsidRPr="00E27862">
              <w:rPr>
                <w:rFonts w:cs="Arial"/>
                <w:color w:val="auto"/>
                <w:lang w:eastAsia="en-US"/>
              </w:rPr>
              <w:t>% of disadvantaged pupils met the expected standard</w:t>
            </w:r>
            <w:r>
              <w:rPr>
                <w:rFonts w:cs="Arial"/>
                <w:color w:val="auto"/>
                <w:lang w:eastAsia="en-US"/>
              </w:rPr>
              <w:t xml:space="preserve"> (this percentage is based on </w:t>
            </w:r>
            <w:r w:rsidR="004B6270">
              <w:rPr>
                <w:rFonts w:cs="Arial"/>
                <w:color w:val="auto"/>
                <w:lang w:eastAsia="en-US"/>
              </w:rPr>
              <w:t>2022 / 23</w:t>
            </w:r>
            <w:r>
              <w:rPr>
                <w:rFonts w:cs="Arial"/>
                <w:color w:val="auto"/>
                <w:lang w:eastAsia="en-US"/>
              </w:rPr>
              <w:t xml:space="preserve"> KS1 reading national for disadvantaged pupils)</w:t>
            </w:r>
            <w:r w:rsidRPr="00E27862">
              <w:rPr>
                <w:rFonts w:cs="Arial"/>
                <w:color w:val="auto"/>
                <w:lang w:eastAsia="en-US"/>
              </w:rPr>
              <w:t>.</w:t>
            </w:r>
          </w:p>
        </w:tc>
      </w:tr>
      <w:tr w:rsidR="00D31EA5" w14:paraId="324DE021" w14:textId="77777777" w:rsidTr="00A62E6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EBEA68" w14:textId="1B15F31B" w:rsidR="00D31EA5" w:rsidRPr="00E27862" w:rsidRDefault="00D31EA5" w:rsidP="00D31EA5">
            <w:pPr>
              <w:pStyle w:val="TableRow"/>
              <w:rPr>
                <w:rFonts w:cs="Arial"/>
                <w:color w:val="auto"/>
              </w:rPr>
            </w:pPr>
            <w:r w:rsidRPr="00E27862">
              <w:rPr>
                <w:rFonts w:cs="Arial"/>
                <w:color w:val="auto"/>
              </w:rPr>
              <w:t xml:space="preserve">Improved reading attainment among disadvantaged pupils.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8C8EC5" w14:textId="5DED014B" w:rsidR="00D31EA5" w:rsidRPr="00E27862" w:rsidRDefault="00D31EA5" w:rsidP="00D31EA5">
            <w:pPr>
              <w:pStyle w:val="TableRowCentered"/>
              <w:jc w:val="left"/>
              <w:rPr>
                <w:rFonts w:cs="Arial"/>
                <w:color w:val="auto"/>
              </w:rPr>
            </w:pPr>
            <w:r w:rsidRPr="00E27862">
              <w:rPr>
                <w:rFonts w:cs="Arial"/>
                <w:color w:val="auto"/>
              </w:rPr>
              <w:t>KS</w:t>
            </w:r>
            <w:r>
              <w:rPr>
                <w:rFonts w:cs="Arial"/>
                <w:color w:val="auto"/>
              </w:rPr>
              <w:t>1</w:t>
            </w:r>
            <w:r w:rsidRPr="00E27862">
              <w:rPr>
                <w:rFonts w:cs="Arial"/>
                <w:color w:val="auto"/>
                <w:lang w:eastAsia="en-US"/>
              </w:rPr>
              <w:t xml:space="preserve"> reading outcomes in 202</w:t>
            </w:r>
            <w:r w:rsidR="00AA5872">
              <w:rPr>
                <w:rFonts w:cs="Arial"/>
                <w:color w:val="auto"/>
                <w:lang w:eastAsia="en-US"/>
              </w:rPr>
              <w:t>5</w:t>
            </w:r>
            <w:r w:rsidRPr="00E27862">
              <w:rPr>
                <w:rFonts w:cs="Arial"/>
                <w:color w:val="auto"/>
                <w:lang w:eastAsia="en-US"/>
              </w:rPr>
              <w:t>/2</w:t>
            </w:r>
            <w:r w:rsidR="00AA5872">
              <w:rPr>
                <w:rFonts w:cs="Arial"/>
                <w:color w:val="auto"/>
                <w:lang w:eastAsia="en-US"/>
              </w:rPr>
              <w:t>6</w:t>
            </w:r>
            <w:r w:rsidRPr="00E27862">
              <w:rPr>
                <w:rFonts w:cs="Arial"/>
                <w:color w:val="auto"/>
                <w:lang w:eastAsia="en-US"/>
              </w:rPr>
              <w:t xml:space="preserve"> show that more than </w:t>
            </w:r>
            <w:r w:rsidR="004B6270">
              <w:rPr>
                <w:rFonts w:cs="Arial"/>
                <w:color w:val="auto"/>
                <w:lang w:eastAsia="en-US"/>
              </w:rPr>
              <w:t>54</w:t>
            </w:r>
            <w:r w:rsidRPr="00E27862">
              <w:rPr>
                <w:rFonts w:cs="Arial"/>
                <w:color w:val="auto"/>
                <w:lang w:eastAsia="en-US"/>
              </w:rPr>
              <w:t>% of disadvantaged pupils met the expected standard</w:t>
            </w:r>
            <w:r w:rsidR="004B6270">
              <w:rPr>
                <w:rFonts w:cs="Arial"/>
                <w:color w:val="auto"/>
                <w:lang w:eastAsia="en-US"/>
              </w:rPr>
              <w:t xml:space="preserve"> (this percentage is based on 2022 / 23 KS1 reading national for disadvantaged pupils)</w:t>
            </w:r>
            <w:r w:rsidR="004B6270" w:rsidRPr="00E27862">
              <w:rPr>
                <w:rFonts w:cs="Arial"/>
                <w:color w:val="auto"/>
                <w:lang w:eastAsia="en-US"/>
              </w:rPr>
              <w:t>.</w:t>
            </w:r>
          </w:p>
        </w:tc>
      </w:tr>
      <w:tr w:rsidR="00D31EA5" w14:paraId="298CB944" w14:textId="77777777" w:rsidTr="00A62E6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3E7FA2" w14:textId="1E98883B" w:rsidR="00D31EA5" w:rsidRPr="00E27862" w:rsidRDefault="00D31EA5" w:rsidP="00D31EA5">
            <w:pPr>
              <w:pStyle w:val="TableRow"/>
              <w:rPr>
                <w:rFonts w:cs="Arial"/>
                <w:color w:val="auto"/>
              </w:rPr>
            </w:pPr>
            <w:r w:rsidRPr="00E27862">
              <w:rPr>
                <w:rFonts w:cs="Arial"/>
                <w:color w:val="auto"/>
              </w:rPr>
              <w:t xml:space="preserve">Improved </w:t>
            </w:r>
            <w:r>
              <w:rPr>
                <w:rFonts w:cs="Arial"/>
                <w:color w:val="auto"/>
              </w:rPr>
              <w:t>writing</w:t>
            </w:r>
            <w:r w:rsidRPr="00E27862">
              <w:rPr>
                <w:rFonts w:cs="Arial"/>
                <w:color w:val="auto"/>
              </w:rPr>
              <w:t xml:space="preserve"> attainment among disadvantaged pupils.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B32B31" w14:textId="2B4C2BFF" w:rsidR="00D31EA5" w:rsidRPr="00E27862" w:rsidRDefault="00D31EA5" w:rsidP="00D31EA5">
            <w:pPr>
              <w:pStyle w:val="TableRowCentered"/>
              <w:jc w:val="left"/>
              <w:rPr>
                <w:rFonts w:cs="Arial"/>
                <w:color w:val="auto"/>
              </w:rPr>
            </w:pPr>
            <w:r w:rsidRPr="00E27862">
              <w:rPr>
                <w:rFonts w:cs="Arial"/>
                <w:color w:val="auto"/>
              </w:rPr>
              <w:t>KS</w:t>
            </w:r>
            <w:r>
              <w:rPr>
                <w:rFonts w:cs="Arial"/>
                <w:color w:val="auto"/>
              </w:rPr>
              <w:t>1</w:t>
            </w:r>
            <w:r w:rsidRPr="00E27862">
              <w:rPr>
                <w:rFonts w:cs="Arial"/>
                <w:color w:val="auto"/>
                <w:lang w:eastAsia="en-US"/>
              </w:rPr>
              <w:t xml:space="preserve"> reading outcomes in 202</w:t>
            </w:r>
            <w:r w:rsidR="00AA5872">
              <w:rPr>
                <w:rFonts w:cs="Arial"/>
                <w:color w:val="auto"/>
                <w:lang w:eastAsia="en-US"/>
              </w:rPr>
              <w:t>6</w:t>
            </w:r>
            <w:r w:rsidRPr="00E27862">
              <w:rPr>
                <w:rFonts w:cs="Arial"/>
                <w:color w:val="auto"/>
                <w:lang w:eastAsia="en-US"/>
              </w:rPr>
              <w:t>/2</w:t>
            </w:r>
            <w:r w:rsidR="00AA5872">
              <w:rPr>
                <w:rFonts w:cs="Arial"/>
                <w:color w:val="auto"/>
                <w:lang w:eastAsia="en-US"/>
              </w:rPr>
              <w:t>6</w:t>
            </w:r>
            <w:r w:rsidRPr="00E27862">
              <w:rPr>
                <w:rFonts w:cs="Arial"/>
                <w:color w:val="auto"/>
                <w:lang w:eastAsia="en-US"/>
              </w:rPr>
              <w:t xml:space="preserve"> show that more than </w:t>
            </w:r>
            <w:r w:rsidR="004B6270">
              <w:rPr>
                <w:rFonts w:cs="Arial"/>
                <w:color w:val="auto"/>
                <w:lang w:eastAsia="en-US"/>
              </w:rPr>
              <w:t>44</w:t>
            </w:r>
            <w:r w:rsidRPr="00E27862">
              <w:rPr>
                <w:rFonts w:cs="Arial"/>
                <w:color w:val="auto"/>
                <w:lang w:eastAsia="en-US"/>
              </w:rPr>
              <w:t>% of disadvantaged pupils met the expected standard</w:t>
            </w:r>
            <w:r>
              <w:rPr>
                <w:rFonts w:cs="Arial"/>
                <w:color w:val="auto"/>
                <w:lang w:eastAsia="en-US"/>
              </w:rPr>
              <w:t xml:space="preserve"> </w:t>
            </w:r>
            <w:r w:rsidR="004B6270">
              <w:rPr>
                <w:rFonts w:cs="Arial"/>
                <w:color w:val="auto"/>
                <w:lang w:eastAsia="en-US"/>
              </w:rPr>
              <w:t>(this percentage is based on 2022 / 23 KS1 reading national for disadvantaged pupils)</w:t>
            </w:r>
            <w:r w:rsidR="004B6270" w:rsidRPr="00E27862">
              <w:rPr>
                <w:rFonts w:cs="Arial"/>
                <w:color w:val="auto"/>
                <w:lang w:eastAsia="en-US"/>
              </w:rPr>
              <w:t>.</w:t>
            </w:r>
          </w:p>
        </w:tc>
      </w:tr>
      <w:tr w:rsidR="00D31EA5" w14:paraId="2A7D5509" w14:textId="77777777" w:rsidTr="00A62E6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43F3CBB9" w:rsidR="00D31EA5" w:rsidRDefault="00D31EA5" w:rsidP="00D31EA5">
            <w:pPr>
              <w:pStyle w:val="TableRow"/>
              <w:rPr>
                <w:sz w:val="22"/>
                <w:szCs w:val="22"/>
              </w:rPr>
            </w:pPr>
            <w:r w:rsidRPr="00E27862">
              <w:rPr>
                <w:rFonts w:cs="Arial"/>
                <w:color w:val="auto"/>
              </w:rPr>
              <w:t>Improved maths attainment for disadvantaged pupils at the end of KS</w:t>
            </w:r>
            <w:r>
              <w:rPr>
                <w:rFonts w:cs="Arial"/>
                <w:color w:val="auto"/>
              </w:rPr>
              <w:t>1</w:t>
            </w:r>
            <w:r w:rsidRPr="00E27862">
              <w:rPr>
                <w:rFonts w:cs="Arial"/>
                <w:color w:val="auto"/>
              </w:rPr>
              <w:t xml:space="preserve">.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8" w14:textId="44D93378" w:rsidR="00D31EA5" w:rsidRDefault="00D31EA5" w:rsidP="00D31EA5">
            <w:pPr>
              <w:pStyle w:val="TableRowCentered"/>
              <w:jc w:val="left"/>
              <w:rPr>
                <w:sz w:val="22"/>
                <w:szCs w:val="22"/>
              </w:rPr>
            </w:pPr>
            <w:r w:rsidRPr="00E27862">
              <w:rPr>
                <w:rFonts w:cs="Arial"/>
                <w:color w:val="auto"/>
              </w:rPr>
              <w:t>KS</w:t>
            </w:r>
            <w:r>
              <w:rPr>
                <w:rFonts w:cs="Arial"/>
                <w:color w:val="auto"/>
              </w:rPr>
              <w:t>1</w:t>
            </w:r>
            <w:r w:rsidRPr="00E27862">
              <w:rPr>
                <w:rFonts w:cs="Arial"/>
                <w:color w:val="auto"/>
                <w:szCs w:val="24"/>
                <w:lang w:eastAsia="en-US"/>
              </w:rPr>
              <w:t xml:space="preserve"> maths outcomes in 202</w:t>
            </w:r>
            <w:r w:rsidR="00AA5872">
              <w:rPr>
                <w:rFonts w:cs="Arial"/>
                <w:color w:val="auto"/>
                <w:szCs w:val="24"/>
                <w:lang w:eastAsia="en-US"/>
              </w:rPr>
              <w:t>5</w:t>
            </w:r>
            <w:r w:rsidRPr="00E27862">
              <w:rPr>
                <w:rFonts w:cs="Arial"/>
                <w:color w:val="auto"/>
                <w:szCs w:val="24"/>
                <w:lang w:eastAsia="en-US"/>
              </w:rPr>
              <w:t>/2</w:t>
            </w:r>
            <w:r w:rsidR="00AA5872">
              <w:rPr>
                <w:rFonts w:cs="Arial"/>
                <w:color w:val="auto"/>
                <w:szCs w:val="24"/>
                <w:lang w:eastAsia="en-US"/>
              </w:rPr>
              <w:t>6</w:t>
            </w:r>
            <w:r w:rsidRPr="00E27862">
              <w:rPr>
                <w:rFonts w:cs="Arial"/>
                <w:color w:val="auto"/>
                <w:szCs w:val="24"/>
                <w:lang w:eastAsia="en-US"/>
              </w:rPr>
              <w:t xml:space="preserve"> show that </w:t>
            </w:r>
            <w:r w:rsidRPr="00E27862">
              <w:rPr>
                <w:rStyle w:val="CommentReference"/>
                <w:color w:val="auto"/>
              </w:rPr>
              <w:t xml:space="preserve">more than </w:t>
            </w:r>
            <w:r w:rsidR="004B6270">
              <w:rPr>
                <w:rStyle w:val="CommentReference"/>
                <w:color w:val="auto"/>
              </w:rPr>
              <w:t>56</w:t>
            </w:r>
            <w:r w:rsidRPr="00E27862">
              <w:rPr>
                <w:rStyle w:val="CommentReference"/>
                <w:color w:val="auto"/>
              </w:rPr>
              <w:t>% of disadvantaged pupils met the expected standard</w:t>
            </w:r>
            <w:r>
              <w:rPr>
                <w:rStyle w:val="CommentReference"/>
                <w:color w:val="auto"/>
              </w:rPr>
              <w:t xml:space="preserve"> </w:t>
            </w:r>
            <w:r w:rsidR="004B6270">
              <w:rPr>
                <w:rFonts w:cs="Arial"/>
                <w:color w:val="auto"/>
                <w:lang w:eastAsia="en-US"/>
              </w:rPr>
              <w:t>(this percentage is based on 2022 / 23 KS1 reading national for disadvantaged pupils)</w:t>
            </w:r>
            <w:r w:rsidR="004B6270" w:rsidRPr="00E27862">
              <w:rPr>
                <w:rFonts w:cs="Arial"/>
                <w:color w:val="auto"/>
                <w:lang w:eastAsia="en-US"/>
              </w:rPr>
              <w:t>.</w:t>
            </w:r>
          </w:p>
        </w:tc>
      </w:tr>
      <w:tr w:rsidR="00D31EA5" w14:paraId="2A7D550C" w14:textId="77777777" w:rsidTr="00A62E6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53E9AC9B" w:rsidR="00D31EA5" w:rsidRDefault="00D31EA5" w:rsidP="00D31EA5">
            <w:pPr>
              <w:pStyle w:val="TableRow"/>
              <w:rPr>
                <w:sz w:val="22"/>
                <w:szCs w:val="22"/>
              </w:rPr>
            </w:pPr>
            <w:r w:rsidRPr="00E27862">
              <w:rPr>
                <w:rFonts w:cs="Arial"/>
                <w:color w:val="auto"/>
              </w:rPr>
              <w:t xml:space="preserve">To achieve and sustain improved </w:t>
            </w:r>
            <w:r>
              <w:rPr>
                <w:rFonts w:cs="Arial"/>
                <w:color w:val="auto"/>
              </w:rPr>
              <w:t>s</w:t>
            </w:r>
            <w:r>
              <w:rPr>
                <w:rFonts w:cs="Arial"/>
              </w:rPr>
              <w:t>ocial and emotional (w</w:t>
            </w:r>
            <w:r w:rsidRPr="00E27862">
              <w:rPr>
                <w:rFonts w:cs="Arial"/>
                <w:color w:val="auto"/>
              </w:rPr>
              <w:t>ell</w:t>
            </w:r>
            <w:r>
              <w:rPr>
                <w:rFonts w:cs="Arial"/>
                <w:color w:val="auto"/>
              </w:rPr>
              <w:t>being) needs</w:t>
            </w:r>
            <w:r w:rsidRPr="00E27862">
              <w:rPr>
                <w:rFonts w:cs="Arial"/>
                <w:color w:val="auto"/>
              </w:rPr>
              <w:t xml:space="preserve"> for all pupils in our school, particularly our disadvantaged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E81F03" w14:textId="3870AFFC" w:rsidR="00D31EA5" w:rsidRPr="00E27862" w:rsidRDefault="00D31EA5" w:rsidP="00D31EA5">
            <w:pPr>
              <w:autoSpaceDN/>
              <w:spacing w:before="60" w:after="60" w:line="240" w:lineRule="auto"/>
              <w:ind w:left="34" w:right="57"/>
              <w:rPr>
                <w:rFonts w:cs="Arial"/>
                <w:color w:val="auto"/>
              </w:rPr>
            </w:pPr>
            <w:r w:rsidRPr="00E27862">
              <w:rPr>
                <w:rFonts w:cs="Arial"/>
                <w:color w:val="auto"/>
              </w:rPr>
              <w:t xml:space="preserve">Sustained high levels of wellbeing </w:t>
            </w:r>
            <w:r>
              <w:rPr>
                <w:rFonts w:cs="Arial"/>
                <w:color w:val="auto"/>
              </w:rPr>
              <w:t xml:space="preserve">by </w:t>
            </w:r>
            <w:r w:rsidRPr="00E27862">
              <w:rPr>
                <w:rFonts w:cs="Arial"/>
                <w:color w:val="auto"/>
              </w:rPr>
              <w:t>202</w:t>
            </w:r>
            <w:r w:rsidR="00AA5872">
              <w:rPr>
                <w:rFonts w:cs="Arial"/>
                <w:color w:val="auto"/>
              </w:rPr>
              <w:t>5</w:t>
            </w:r>
            <w:r w:rsidRPr="00E27862">
              <w:rPr>
                <w:rFonts w:cs="Arial"/>
                <w:color w:val="auto"/>
              </w:rPr>
              <w:t>/2</w:t>
            </w:r>
            <w:r w:rsidR="00AA5872">
              <w:rPr>
                <w:rFonts w:cs="Arial"/>
                <w:color w:val="auto"/>
              </w:rPr>
              <w:t>6</w:t>
            </w:r>
            <w:r w:rsidRPr="00E27862">
              <w:rPr>
                <w:rFonts w:cs="Arial"/>
                <w:color w:val="auto"/>
              </w:rPr>
              <w:t xml:space="preserve"> demonstrated </w:t>
            </w:r>
            <w:r>
              <w:rPr>
                <w:rFonts w:cs="Arial"/>
                <w:color w:val="auto"/>
              </w:rPr>
              <w:t>by</w:t>
            </w:r>
            <w:r w:rsidRPr="00E27862">
              <w:rPr>
                <w:rFonts w:cs="Arial"/>
                <w:color w:val="auto"/>
              </w:rPr>
              <w:t>:</w:t>
            </w:r>
          </w:p>
          <w:p w14:paraId="1FFAB0E6" w14:textId="563393A9" w:rsidR="00D31EA5" w:rsidRPr="00E27862" w:rsidRDefault="00D31EA5" w:rsidP="00D31EA5">
            <w:pPr>
              <w:pStyle w:val="ListParagraph"/>
              <w:numPr>
                <w:ilvl w:val="0"/>
                <w:numId w:val="14"/>
              </w:numPr>
              <w:autoSpaceDN/>
              <w:spacing w:before="60" w:after="120" w:line="240" w:lineRule="auto"/>
              <w:ind w:right="57" w:hanging="357"/>
              <w:contextualSpacing w:val="0"/>
              <w:rPr>
                <w:rFonts w:cs="Arial"/>
                <w:color w:val="auto"/>
              </w:rPr>
            </w:pPr>
            <w:r w:rsidRPr="00E27862">
              <w:rPr>
                <w:rFonts w:cs="Arial"/>
                <w:color w:val="auto"/>
              </w:rPr>
              <w:t xml:space="preserve">qualitative data from </w:t>
            </w:r>
            <w:r>
              <w:rPr>
                <w:rFonts w:cs="Arial"/>
                <w:color w:val="auto"/>
              </w:rPr>
              <w:t>boxall assessments</w:t>
            </w:r>
            <w:r w:rsidRPr="00E27862">
              <w:rPr>
                <w:rFonts w:cs="Arial"/>
                <w:color w:val="auto"/>
              </w:rPr>
              <w:t xml:space="preserve"> and teacher observations</w:t>
            </w:r>
          </w:p>
          <w:p w14:paraId="2A7D550B" w14:textId="111AD6DE" w:rsidR="00D31EA5" w:rsidRDefault="00D31EA5" w:rsidP="00D31EA5">
            <w:pPr>
              <w:pStyle w:val="TableRowCentered"/>
              <w:numPr>
                <w:ilvl w:val="0"/>
                <w:numId w:val="14"/>
              </w:numPr>
              <w:jc w:val="left"/>
              <w:rPr>
                <w:sz w:val="22"/>
                <w:szCs w:val="22"/>
              </w:rPr>
            </w:pPr>
            <w:r w:rsidRPr="00E27862">
              <w:rPr>
                <w:rFonts w:cs="Arial"/>
                <w:color w:val="auto"/>
              </w:rPr>
              <w:t xml:space="preserve">a significant increase in participation in </w:t>
            </w:r>
            <w:r>
              <w:rPr>
                <w:rFonts w:cs="Arial"/>
                <w:color w:val="auto"/>
              </w:rPr>
              <w:t xml:space="preserve">extracurricular </w:t>
            </w:r>
            <w:r w:rsidRPr="00E27862">
              <w:rPr>
                <w:rFonts w:cs="Arial"/>
                <w:color w:val="auto"/>
              </w:rPr>
              <w:t xml:space="preserve">activities, particularly among disadvantaged pupils    </w:t>
            </w:r>
          </w:p>
        </w:tc>
      </w:tr>
      <w:tr w:rsidR="00D31EA5" w14:paraId="2A7D550F" w14:textId="77777777" w:rsidTr="00A62E6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191E3E82" w:rsidR="00D31EA5" w:rsidRDefault="00D31EA5" w:rsidP="00D31EA5">
            <w:pPr>
              <w:pStyle w:val="TableRow"/>
              <w:rPr>
                <w:sz w:val="22"/>
                <w:szCs w:val="22"/>
              </w:rPr>
            </w:pPr>
            <w:r w:rsidRPr="00E27862">
              <w:rPr>
                <w:rFonts w:cs="Arial"/>
                <w:color w:val="auto"/>
              </w:rPr>
              <w:t>To achieve and sustain improved attendance for all pupils, particularly our disadvantaged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50CC61" w14:textId="71A378E2" w:rsidR="00D31EA5" w:rsidRPr="00E27862" w:rsidRDefault="00D31EA5" w:rsidP="00D31EA5">
            <w:pPr>
              <w:autoSpaceDN/>
              <w:spacing w:before="60" w:after="60" w:line="240" w:lineRule="auto"/>
              <w:ind w:left="57" w:right="57"/>
              <w:rPr>
                <w:rFonts w:cs="Arial"/>
                <w:color w:val="auto"/>
              </w:rPr>
            </w:pPr>
            <w:r w:rsidRPr="00E27862">
              <w:rPr>
                <w:rFonts w:cs="Arial"/>
                <w:color w:val="auto"/>
              </w:rPr>
              <w:t xml:space="preserve">Sustained high attendance </w:t>
            </w:r>
            <w:r>
              <w:rPr>
                <w:rFonts w:cs="Arial"/>
                <w:color w:val="auto"/>
              </w:rPr>
              <w:t xml:space="preserve">by </w:t>
            </w:r>
            <w:r w:rsidRPr="00E27862">
              <w:rPr>
                <w:rFonts w:cs="Arial"/>
                <w:color w:val="auto"/>
              </w:rPr>
              <w:t>202</w:t>
            </w:r>
            <w:r w:rsidR="00AA5872">
              <w:rPr>
                <w:rFonts w:cs="Arial"/>
                <w:color w:val="auto"/>
              </w:rPr>
              <w:t>5</w:t>
            </w:r>
            <w:r w:rsidRPr="00E27862">
              <w:rPr>
                <w:rFonts w:cs="Arial"/>
                <w:color w:val="auto"/>
              </w:rPr>
              <w:t>/2</w:t>
            </w:r>
            <w:r w:rsidR="00AA5872">
              <w:rPr>
                <w:rFonts w:cs="Arial"/>
                <w:color w:val="auto"/>
              </w:rPr>
              <w:t>6</w:t>
            </w:r>
            <w:r w:rsidRPr="00E27862">
              <w:rPr>
                <w:rFonts w:cs="Arial"/>
                <w:color w:val="auto"/>
              </w:rPr>
              <w:t xml:space="preserve"> demonstrated</w:t>
            </w:r>
            <w:r>
              <w:rPr>
                <w:rFonts w:cs="Arial"/>
                <w:color w:val="auto"/>
              </w:rPr>
              <w:t xml:space="preserve"> by</w:t>
            </w:r>
            <w:r w:rsidRPr="00E27862">
              <w:rPr>
                <w:rFonts w:cs="Arial"/>
                <w:color w:val="auto"/>
              </w:rPr>
              <w:t>:</w:t>
            </w:r>
          </w:p>
          <w:p w14:paraId="0EBD8633" w14:textId="196A773A" w:rsidR="00D31EA5" w:rsidRPr="00E27862" w:rsidRDefault="00D31EA5" w:rsidP="00D31EA5">
            <w:pPr>
              <w:pStyle w:val="ListParagraph"/>
              <w:numPr>
                <w:ilvl w:val="0"/>
                <w:numId w:val="15"/>
              </w:numPr>
              <w:autoSpaceDN/>
              <w:spacing w:before="60" w:after="60" w:line="240" w:lineRule="auto"/>
              <w:ind w:right="57"/>
              <w:rPr>
                <w:rFonts w:cs="Arial"/>
                <w:color w:val="auto"/>
              </w:rPr>
            </w:pPr>
            <w:r w:rsidRPr="00E27862">
              <w:rPr>
                <w:rFonts w:cs="Arial"/>
                <w:color w:val="auto"/>
              </w:rPr>
              <w:t xml:space="preserve">the overall </w:t>
            </w:r>
            <w:r w:rsidR="00634543">
              <w:rPr>
                <w:rFonts w:cs="Arial"/>
                <w:color w:val="auto"/>
              </w:rPr>
              <w:t>attendance is 96.5</w:t>
            </w:r>
            <w:r w:rsidRPr="00E27862">
              <w:rPr>
                <w:rFonts w:cs="Arial"/>
                <w:color w:val="auto"/>
              </w:rPr>
              <w:t>%</w:t>
            </w:r>
            <w:r w:rsidR="00634543">
              <w:rPr>
                <w:rFonts w:cs="Arial"/>
                <w:color w:val="auto"/>
              </w:rPr>
              <w:t>+ (in line with the whole school attendance target)</w:t>
            </w:r>
          </w:p>
          <w:p w14:paraId="2A7D550E" w14:textId="5564E8D4" w:rsidR="00D31EA5" w:rsidRDefault="00D31EA5" w:rsidP="00D31EA5">
            <w:pPr>
              <w:pStyle w:val="TableRowCentered"/>
              <w:jc w:val="left"/>
              <w:rPr>
                <w:sz w:val="22"/>
                <w:szCs w:val="22"/>
              </w:rPr>
            </w:pP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6D94995" w:rsidR="00E66558" w:rsidRDefault="009D71E8">
      <w:r>
        <w:t>Budgeted cost: £</w:t>
      </w:r>
      <w:r w:rsidR="004A2E2C">
        <w:t>1</w:t>
      </w:r>
      <w:r w:rsidR="00D45D4F">
        <w:t>5,504</w:t>
      </w:r>
    </w:p>
    <w:tbl>
      <w:tblPr>
        <w:tblW w:w="5000" w:type="pct"/>
        <w:tblCellMar>
          <w:left w:w="10" w:type="dxa"/>
          <w:right w:w="10" w:type="dxa"/>
        </w:tblCellMar>
        <w:tblLook w:val="04A0" w:firstRow="1" w:lastRow="0" w:firstColumn="1" w:lastColumn="0" w:noHBand="0" w:noVBand="1"/>
      </w:tblPr>
      <w:tblGrid>
        <w:gridCol w:w="3372"/>
        <w:gridCol w:w="7997"/>
        <w:gridCol w:w="3191"/>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33512" w14:textId="77777777" w:rsidR="00E66558" w:rsidRPr="00D32BF9" w:rsidRDefault="00EE1097">
            <w:pPr>
              <w:pStyle w:val="TableRow"/>
            </w:pPr>
            <w:r w:rsidRPr="00D32BF9">
              <w:t>Reading</w:t>
            </w:r>
          </w:p>
          <w:p w14:paraId="4BA20077" w14:textId="77777777" w:rsidR="00EE1097" w:rsidRPr="00D32BF9" w:rsidRDefault="00EE1097" w:rsidP="00EE1097">
            <w:pPr>
              <w:pStyle w:val="TableRow"/>
            </w:pPr>
            <w:r w:rsidRPr="00D32BF9">
              <w:t>Ensure all relevant staff (including new staff) have received reading CPD from an English Hub provider:</w:t>
            </w:r>
          </w:p>
          <w:p w14:paraId="20F8A5C8" w14:textId="77777777" w:rsidR="00EE1097" w:rsidRPr="00D32BF9" w:rsidRDefault="00EE1097" w:rsidP="00EE1097">
            <w:pPr>
              <w:pStyle w:val="TableRow"/>
            </w:pPr>
          </w:p>
          <w:p w14:paraId="7DFCA73E" w14:textId="77777777" w:rsidR="00EE1097" w:rsidRPr="00D32BF9" w:rsidRDefault="00EE1097" w:rsidP="00EE1097">
            <w:pPr>
              <w:pStyle w:val="TableRow"/>
            </w:pPr>
            <w:r w:rsidRPr="00D32BF9">
              <w:t>i)</w:t>
            </w:r>
            <w:r w:rsidRPr="00D32BF9">
              <w:tab/>
              <w:t>word recognition (phonics and fluency) to deliver the phonics scheme effectively</w:t>
            </w:r>
          </w:p>
          <w:p w14:paraId="2A7D551A" w14:textId="60A90190" w:rsidR="00EE1097" w:rsidRPr="00D32BF9" w:rsidRDefault="00EE1097" w:rsidP="00EE1097">
            <w:pPr>
              <w:pStyle w:val="TableRow"/>
            </w:pPr>
            <w:r w:rsidRPr="00D32BF9">
              <w:t>ii)</w:t>
            </w:r>
            <w:r w:rsidRPr="00D32BF9">
              <w:tab/>
              <w:t>comprehension (retrieval and inference)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5BF5" w14:textId="77777777" w:rsidR="003431B3" w:rsidRDefault="003431B3" w:rsidP="003431B3">
            <w:pPr>
              <w:pStyle w:val="TableRowCentered"/>
              <w:jc w:val="left"/>
              <w:rPr>
                <w:rFonts w:cs="Arial"/>
                <w:color w:val="auto"/>
                <w:szCs w:val="24"/>
              </w:rPr>
            </w:pPr>
            <w:r>
              <w:rPr>
                <w:rFonts w:cs="Arial"/>
                <w:color w:val="auto"/>
                <w:szCs w:val="24"/>
              </w:rPr>
              <w:t xml:space="preserve">Phonics approaches have a strong evidence base that indicates a positive impact on the accuracy of word reading (though not necessarily comprehension), particularly for disadvantaged pupils: </w:t>
            </w:r>
          </w:p>
          <w:p w14:paraId="2A7D551B" w14:textId="4ADCC049" w:rsidR="00E66558" w:rsidRDefault="008C22DD" w:rsidP="003431B3">
            <w:pPr>
              <w:pStyle w:val="TableRowCentered"/>
              <w:jc w:val="left"/>
              <w:rPr>
                <w:sz w:val="22"/>
              </w:rPr>
            </w:pPr>
            <w:hyperlink r:id="rId7" w:history="1">
              <w:r w:rsidR="003431B3">
                <w:rPr>
                  <w:rStyle w:val="Hyperlink"/>
                  <w:color w:val="0070C0"/>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5270404F" w:rsidR="00E66558" w:rsidRDefault="009C4A9E">
            <w:pPr>
              <w:pStyle w:val="TableRowCentered"/>
              <w:jc w:val="left"/>
              <w:rPr>
                <w:sz w:val="22"/>
              </w:rPr>
            </w:pPr>
            <w:r>
              <w:rPr>
                <w:sz w:val="22"/>
              </w:rPr>
              <w:t>1, 4</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B0C18" w14:textId="77777777" w:rsidR="00E66558" w:rsidRPr="00D32BF9" w:rsidRDefault="00EE1097">
            <w:pPr>
              <w:pStyle w:val="TableRow"/>
            </w:pPr>
            <w:r w:rsidRPr="00D32BF9">
              <w:t>Writing</w:t>
            </w:r>
          </w:p>
          <w:p w14:paraId="55C642CC" w14:textId="77777777" w:rsidR="00D32BF9" w:rsidRPr="00D32BF9" w:rsidRDefault="00D32BF9" w:rsidP="00D32BF9">
            <w:pPr>
              <w:pStyle w:val="TableRow"/>
            </w:pPr>
            <w:r w:rsidRPr="00D32BF9">
              <w:t>Ensure that all relevant staff (including new staff) have received writing CPD:</w:t>
            </w:r>
          </w:p>
          <w:p w14:paraId="31FD80C6" w14:textId="77777777" w:rsidR="00D32BF9" w:rsidRPr="00D32BF9" w:rsidRDefault="00D32BF9" w:rsidP="00D32BF9">
            <w:pPr>
              <w:pStyle w:val="TableRow"/>
            </w:pPr>
            <w:r w:rsidRPr="00D32BF9">
              <w:t>i)</w:t>
            </w:r>
            <w:r w:rsidRPr="00D32BF9">
              <w:tab/>
              <w:t xml:space="preserve">shape coding </w:t>
            </w:r>
          </w:p>
          <w:p w14:paraId="2A7D551E" w14:textId="6541FEA6" w:rsidR="00D32BF9" w:rsidRPr="00D32BF9" w:rsidRDefault="00D32BF9" w:rsidP="00D32BF9">
            <w:pPr>
              <w:pStyle w:val="TableRow"/>
            </w:pPr>
            <w:r w:rsidRPr="00D32BF9">
              <w:t>ii)</w:t>
            </w:r>
            <w:r w:rsidRPr="00D32BF9">
              <w:tab/>
              <w:t>embed high quality vocabulary (purpose and audience)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450D4" w14:textId="0D3C052A" w:rsidR="003962DC" w:rsidRPr="003962DC" w:rsidRDefault="003962DC" w:rsidP="003962DC">
            <w:pPr>
              <w:pStyle w:val="TableRowCentered"/>
              <w:jc w:val="left"/>
              <w:rPr>
                <w:szCs w:val="24"/>
              </w:rPr>
            </w:pPr>
            <w:r w:rsidRPr="003962DC">
              <w:rPr>
                <w:szCs w:val="24"/>
              </w:rPr>
              <w:t xml:space="preserve">The SHAPE CODING system was designed </w:t>
            </w:r>
          </w:p>
          <w:p w14:paraId="0BF11EAC" w14:textId="39E333CA" w:rsidR="003962DC" w:rsidRPr="003962DC" w:rsidRDefault="003962DC" w:rsidP="003962DC">
            <w:pPr>
              <w:pStyle w:val="TableRowCentered"/>
              <w:jc w:val="left"/>
              <w:rPr>
                <w:szCs w:val="24"/>
              </w:rPr>
            </w:pPr>
            <w:r w:rsidRPr="003962DC">
              <w:rPr>
                <w:szCs w:val="24"/>
              </w:rPr>
              <w:t>primarily for school-aged children and young people with language disorders. The SHAPE CODING system uses a visual coding system to show the rules for how words are put together in sentences, to develop the child’s understanding and use of grammar, so that they can communicate more effectively. The SHAPE CODING system includes use of shapes (syntactic structures), colours (parts of speech) and arrows (tense and aspect). It aims to be able to represent most aspects of English grammar and thus is flexible enough to be used from the very early word combinations to complex structures.</w:t>
            </w:r>
          </w:p>
          <w:p w14:paraId="16092E3F" w14:textId="7931542A" w:rsidR="00E66558" w:rsidRPr="003962DC" w:rsidRDefault="008C22DD">
            <w:pPr>
              <w:pStyle w:val="TableRowCentered"/>
              <w:jc w:val="left"/>
              <w:rPr>
                <w:szCs w:val="24"/>
              </w:rPr>
            </w:pPr>
            <w:hyperlink r:id="rId8" w:history="1">
              <w:r w:rsidR="003962DC" w:rsidRPr="003962DC">
                <w:rPr>
                  <w:rStyle w:val="Hyperlink"/>
                  <w:szCs w:val="24"/>
                </w:rPr>
                <w:t>https://shapecoding.com/research/</w:t>
              </w:r>
            </w:hyperlink>
          </w:p>
          <w:p w14:paraId="6BB3E51A" w14:textId="77777777" w:rsidR="003962DC" w:rsidRPr="003962DC" w:rsidRDefault="003962DC" w:rsidP="003962DC">
            <w:pPr>
              <w:spacing w:before="120" w:after="60" w:line="240" w:lineRule="auto"/>
              <w:ind w:left="57" w:right="57"/>
              <w:rPr>
                <w:rFonts w:cs="Arial"/>
                <w:color w:val="auto"/>
              </w:rPr>
            </w:pPr>
            <w:r w:rsidRPr="003962DC">
              <w:rPr>
                <w:rFonts w:cs="Arial"/>
                <w:color w:val="auto"/>
              </w:rPr>
              <w:t xml:space="preserve">The EEF guidance is based on a range of the best available evidence: </w:t>
            </w:r>
          </w:p>
          <w:p w14:paraId="1062AB91" w14:textId="502B189C" w:rsidR="003431B3" w:rsidRPr="003962DC" w:rsidRDefault="008C22DD">
            <w:pPr>
              <w:pStyle w:val="TableRowCentered"/>
              <w:jc w:val="left"/>
              <w:rPr>
                <w:szCs w:val="24"/>
              </w:rPr>
            </w:pPr>
            <w:hyperlink r:id="rId9" w:history="1">
              <w:r w:rsidR="003431B3" w:rsidRPr="003962DC">
                <w:rPr>
                  <w:rStyle w:val="Hyperlink"/>
                  <w:szCs w:val="24"/>
                </w:rPr>
                <w:t>https://educationendowmentfoundation.org.uk/education-evidence/guidance-reports/literacy-ks-1</w:t>
              </w:r>
            </w:hyperlink>
          </w:p>
          <w:p w14:paraId="2A7D551F" w14:textId="16031C55" w:rsidR="003431B3" w:rsidRDefault="003431B3">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AA470A8" w:rsidR="00E66558" w:rsidRDefault="009C4A9E">
            <w:pPr>
              <w:pStyle w:val="TableRowCentered"/>
              <w:jc w:val="left"/>
              <w:rPr>
                <w:sz w:val="22"/>
              </w:rPr>
            </w:pPr>
            <w:r>
              <w:rPr>
                <w:sz w:val="22"/>
              </w:rPr>
              <w:t>1, 4</w:t>
            </w:r>
          </w:p>
        </w:tc>
      </w:tr>
      <w:tr w:rsidR="00EE1097" w14:paraId="7470BA9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EEFB8" w14:textId="77777777" w:rsidR="00EE1097" w:rsidRPr="00D32BF9" w:rsidRDefault="00D32BF9">
            <w:pPr>
              <w:pStyle w:val="TableRow"/>
            </w:pPr>
            <w:r w:rsidRPr="00D32BF9">
              <w:t>Mathematics</w:t>
            </w:r>
          </w:p>
          <w:p w14:paraId="4F7B893C" w14:textId="6C6F1F36" w:rsidR="00D32BF9" w:rsidRPr="00D32BF9" w:rsidRDefault="00D32BF9">
            <w:pPr>
              <w:pStyle w:val="TableRow"/>
            </w:pPr>
            <w:r w:rsidRPr="00D32BF9">
              <w:t>Work with the maths hub to embed teaching for mastery across all year groups developing fluency, reasoning and problem solving.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92F56" w14:textId="77777777" w:rsidR="003962DC" w:rsidRPr="003962DC" w:rsidRDefault="003962DC" w:rsidP="003962DC">
            <w:pPr>
              <w:spacing w:before="120" w:after="60" w:line="240" w:lineRule="auto"/>
              <w:ind w:left="57" w:right="57"/>
              <w:rPr>
                <w:rFonts w:cs="Arial"/>
                <w:color w:val="auto"/>
              </w:rPr>
            </w:pPr>
            <w:r w:rsidRPr="003962DC">
              <w:rPr>
                <w:rFonts w:cs="Arial"/>
                <w:color w:val="auto"/>
              </w:rPr>
              <w:t xml:space="preserve">The EEF guidance is based on a range of the best available evidence: </w:t>
            </w:r>
          </w:p>
          <w:p w14:paraId="5F607B91" w14:textId="14456BB7" w:rsidR="00EE1097" w:rsidRPr="003962DC" w:rsidRDefault="008C22DD">
            <w:pPr>
              <w:pStyle w:val="TableRowCentered"/>
              <w:jc w:val="left"/>
              <w:rPr>
                <w:szCs w:val="24"/>
              </w:rPr>
            </w:pPr>
            <w:hyperlink r:id="rId10" w:history="1">
              <w:r w:rsidR="003962DC" w:rsidRPr="003962DC">
                <w:rPr>
                  <w:rStyle w:val="Hyperlink"/>
                  <w:szCs w:val="24"/>
                </w:rPr>
                <w:t>https://educationendowmentfoundation.org.uk/education-evidence/guidance-reports/early-maths</w:t>
              </w:r>
            </w:hyperlink>
          </w:p>
          <w:p w14:paraId="514CA03B" w14:textId="0A64FD92" w:rsidR="003962DC" w:rsidRDefault="003962DC">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BE4AF" w14:textId="1CD9DB07" w:rsidR="00EE1097" w:rsidRDefault="009C4A9E">
            <w:pPr>
              <w:pStyle w:val="TableRowCentered"/>
              <w:jc w:val="left"/>
              <w:rPr>
                <w:sz w:val="22"/>
              </w:rPr>
            </w:pPr>
            <w:r>
              <w:rPr>
                <w:sz w:val="22"/>
              </w:rPr>
              <w:t>1, 4</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738DB8BE" w:rsidR="00E66558" w:rsidRDefault="009D71E8">
      <w:r>
        <w:t>Budgeted cost: £</w:t>
      </w:r>
      <w:r w:rsidR="00D45D4F">
        <w:t>21,802</w:t>
      </w:r>
    </w:p>
    <w:tbl>
      <w:tblPr>
        <w:tblW w:w="5679" w:type="pct"/>
        <w:tblInd w:w="-714" w:type="dxa"/>
        <w:tblCellMar>
          <w:left w:w="10" w:type="dxa"/>
          <w:right w:w="10" w:type="dxa"/>
        </w:tblCellMar>
        <w:tblLook w:val="04A0" w:firstRow="1" w:lastRow="0" w:firstColumn="1" w:lastColumn="0" w:noHBand="0" w:noVBand="1"/>
      </w:tblPr>
      <w:tblGrid>
        <w:gridCol w:w="2203"/>
        <w:gridCol w:w="12477"/>
        <w:gridCol w:w="1857"/>
      </w:tblGrid>
      <w:tr w:rsidR="00E66558" w14:paraId="2A7D5528" w14:textId="77777777" w:rsidTr="00FB2837">
        <w:tc>
          <w:tcPr>
            <w:tcW w:w="22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12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85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FB2837">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0E1B6" w14:textId="77777777" w:rsidR="00E66558" w:rsidRPr="00D32BF9" w:rsidRDefault="00D32BF9">
            <w:pPr>
              <w:pStyle w:val="TableRow"/>
              <w:rPr>
                <w:iCs/>
              </w:rPr>
            </w:pPr>
            <w:r w:rsidRPr="00D32BF9">
              <w:rPr>
                <w:iCs/>
              </w:rPr>
              <w:t xml:space="preserve">Reading and Writing </w:t>
            </w:r>
          </w:p>
          <w:p w14:paraId="03D4F087" w14:textId="77777777" w:rsidR="00D32BF9" w:rsidRPr="00D32BF9" w:rsidRDefault="00D32BF9" w:rsidP="00D32BF9">
            <w:pPr>
              <w:pStyle w:val="TableRow"/>
            </w:pPr>
            <w:r w:rsidRPr="00D32BF9">
              <w:t xml:space="preserve">To purchase and embed the following targeted support to develop phonological awareness, phonics, structural awareness, automaticity, fluency, vocabulary and comprehension: </w:t>
            </w:r>
          </w:p>
          <w:p w14:paraId="1B1C2B1C" w14:textId="77777777" w:rsidR="00D32BF9" w:rsidRPr="00D32BF9" w:rsidRDefault="00D32BF9" w:rsidP="00D32BF9">
            <w:pPr>
              <w:pStyle w:val="TableRow"/>
            </w:pPr>
          </w:p>
          <w:p w14:paraId="22AE9043" w14:textId="77777777" w:rsidR="00D32BF9" w:rsidRPr="00D32BF9" w:rsidRDefault="00D32BF9" w:rsidP="00D32BF9">
            <w:pPr>
              <w:pStyle w:val="TableRow"/>
            </w:pPr>
            <w:r w:rsidRPr="00D32BF9">
              <w:t>i)</w:t>
            </w:r>
            <w:r w:rsidRPr="00D32BF9">
              <w:tab/>
              <w:t>Lexia</w:t>
            </w:r>
          </w:p>
          <w:p w14:paraId="2A7D5529" w14:textId="6DF310C2" w:rsidR="00D32BF9" w:rsidRPr="00D32BF9" w:rsidRDefault="00D32BF9" w:rsidP="00D32BF9">
            <w:pPr>
              <w:pStyle w:val="TableRow"/>
            </w:pPr>
            <w:r w:rsidRPr="00D32BF9">
              <w:t>ii)</w:t>
            </w:r>
            <w:r w:rsidRPr="00D32BF9">
              <w:tab/>
              <w:t>1:1 RWI phonics</w:t>
            </w:r>
          </w:p>
        </w:tc>
        <w:tc>
          <w:tcPr>
            <w:tcW w:w="1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0BC42" w14:textId="77777777" w:rsidR="00933C69" w:rsidRPr="003962DC" w:rsidRDefault="00933C69" w:rsidP="00933C69">
            <w:pPr>
              <w:spacing w:before="120" w:after="60" w:line="240" w:lineRule="auto"/>
              <w:ind w:left="57" w:right="57"/>
              <w:rPr>
                <w:rFonts w:cs="Arial"/>
                <w:color w:val="auto"/>
              </w:rPr>
            </w:pPr>
            <w:r w:rsidRPr="003962DC">
              <w:rPr>
                <w:rFonts w:cs="Arial"/>
                <w:color w:val="auto"/>
              </w:rPr>
              <w:t xml:space="preserve">The EEF guidance is based on a range of the best available evidence: </w:t>
            </w:r>
          </w:p>
          <w:p w14:paraId="72629303" w14:textId="00B6734B" w:rsidR="00933C69" w:rsidRDefault="008C22DD" w:rsidP="00933C69">
            <w:pPr>
              <w:pStyle w:val="TableRowCentered"/>
              <w:jc w:val="left"/>
              <w:rPr>
                <w:rFonts w:cs="Arial"/>
                <w:color w:val="auto"/>
                <w:szCs w:val="24"/>
              </w:rPr>
            </w:pPr>
            <w:hyperlink r:id="rId11" w:history="1">
              <w:r w:rsidR="00933C69" w:rsidRPr="0038781C">
                <w:rPr>
                  <w:rStyle w:val="Hyperlink"/>
                  <w:rFonts w:cs="Arial"/>
                  <w:szCs w:val="24"/>
                </w:rPr>
                <w:t>https://educationendowmentfoundation.org.uk/projects-and-evaluation/projects/lexia</w:t>
              </w:r>
            </w:hyperlink>
          </w:p>
          <w:p w14:paraId="4AEC9583" w14:textId="77777777" w:rsidR="00933C69" w:rsidRDefault="00933C69" w:rsidP="00933C69">
            <w:pPr>
              <w:pStyle w:val="TableRowCentered"/>
              <w:jc w:val="left"/>
              <w:rPr>
                <w:rFonts w:cs="Arial"/>
                <w:color w:val="auto"/>
                <w:szCs w:val="24"/>
              </w:rPr>
            </w:pPr>
          </w:p>
          <w:p w14:paraId="2E5E5EFF" w14:textId="77777777" w:rsidR="00933C69" w:rsidRDefault="00933C69" w:rsidP="00933C69">
            <w:pPr>
              <w:pStyle w:val="TableRowCentered"/>
              <w:jc w:val="left"/>
              <w:rPr>
                <w:rFonts w:cs="Arial"/>
                <w:color w:val="auto"/>
                <w:szCs w:val="24"/>
              </w:rPr>
            </w:pPr>
          </w:p>
          <w:p w14:paraId="20D63757" w14:textId="4AAEC8E9" w:rsidR="00933C69" w:rsidRDefault="00933C69" w:rsidP="00933C69">
            <w:pPr>
              <w:pStyle w:val="TableRowCentered"/>
              <w:jc w:val="left"/>
              <w:rPr>
                <w:rFonts w:cs="Arial"/>
                <w:color w:val="auto"/>
                <w:szCs w:val="24"/>
              </w:rPr>
            </w:pPr>
            <w:r>
              <w:rPr>
                <w:rFonts w:cs="Arial"/>
                <w:color w:val="auto"/>
                <w:szCs w:val="24"/>
              </w:rPr>
              <w:t xml:space="preserve">Phonics approaches have a strong evidence base that indicates a positive impact on the accuracy of word reading (though not necessarily comprehension), particularly for disadvantaged pupils: </w:t>
            </w:r>
          </w:p>
          <w:p w14:paraId="2A7D552A" w14:textId="5515D77A" w:rsidR="00E66558" w:rsidRDefault="008C22DD" w:rsidP="00933C69">
            <w:pPr>
              <w:pStyle w:val="TableRowCentered"/>
              <w:jc w:val="left"/>
              <w:rPr>
                <w:sz w:val="22"/>
              </w:rPr>
            </w:pPr>
            <w:hyperlink r:id="rId12" w:history="1">
              <w:r w:rsidR="00933C69">
                <w:rPr>
                  <w:rStyle w:val="Hyperlink"/>
                  <w:color w:val="0070C0"/>
                </w:rPr>
                <w:t>Phonics | Toolkit Strand | Education Endowment Foundation | EEF</w:t>
              </w:r>
            </w:hyperlink>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B22C1A5" w:rsidR="00E66558" w:rsidRDefault="009C4A9E">
            <w:pPr>
              <w:pStyle w:val="TableRowCentered"/>
              <w:jc w:val="left"/>
              <w:rPr>
                <w:sz w:val="22"/>
              </w:rPr>
            </w:pPr>
            <w:r>
              <w:rPr>
                <w:sz w:val="22"/>
              </w:rPr>
              <w:t>1, 4</w:t>
            </w:r>
          </w:p>
        </w:tc>
      </w:tr>
      <w:tr w:rsidR="00E66558" w14:paraId="2A7D5530" w14:textId="77777777" w:rsidTr="00FB2837">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53790" w14:textId="77777777" w:rsidR="00E66558" w:rsidRPr="00D32BF9" w:rsidRDefault="00D32BF9">
            <w:pPr>
              <w:pStyle w:val="TableRow"/>
            </w:pPr>
            <w:r w:rsidRPr="00D32BF9">
              <w:t xml:space="preserve">Mathematics </w:t>
            </w:r>
          </w:p>
          <w:p w14:paraId="2A7D552D" w14:textId="5EE3B87A" w:rsidR="00D32BF9" w:rsidRPr="00D32BF9" w:rsidRDefault="00D32BF9">
            <w:pPr>
              <w:pStyle w:val="TableRow"/>
            </w:pPr>
            <w:r w:rsidRPr="00D32BF9">
              <w:t>Establish small group maths interventions (1st class at number) for disadvantaged pupils falling behind age-related expectations</w:t>
            </w:r>
          </w:p>
        </w:tc>
        <w:tc>
          <w:tcPr>
            <w:tcW w:w="1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EBED7" w14:textId="77777777" w:rsidR="006573AC" w:rsidRPr="00870F7E" w:rsidRDefault="006573AC" w:rsidP="006573AC">
            <w:pPr>
              <w:pStyle w:val="TableRowCentered"/>
              <w:jc w:val="left"/>
              <w:rPr>
                <w:szCs w:val="24"/>
              </w:rPr>
            </w:pPr>
            <w:r w:rsidRPr="00870F7E">
              <w:rPr>
                <w:szCs w:val="24"/>
              </w:rPr>
              <w:t>The EEF guidance is based on a range of the best available evidence:</w:t>
            </w:r>
          </w:p>
          <w:p w14:paraId="1FFFA3CA" w14:textId="340B24E9" w:rsidR="006573AC" w:rsidRPr="00870F7E" w:rsidRDefault="008C22DD" w:rsidP="006573AC">
            <w:pPr>
              <w:pStyle w:val="TableRowCentered"/>
              <w:jc w:val="left"/>
              <w:rPr>
                <w:szCs w:val="24"/>
              </w:rPr>
            </w:pPr>
            <w:hyperlink r:id="rId13" w:history="1">
              <w:r w:rsidR="00BF473B" w:rsidRPr="00870F7E">
                <w:rPr>
                  <w:rStyle w:val="Hyperlink"/>
                  <w:szCs w:val="24"/>
                </w:rPr>
                <w:t>https://educationendowmentfoundation.org.uk/projects-and-evaluation/projects/1stclassnumber?utm_source=/projects-and-evaluation/projects/1stclassnumber&amp;utm_medium=search&amp;utm_campaign=site_search&amp;search_term=1st</w:t>
              </w:r>
            </w:hyperlink>
          </w:p>
          <w:p w14:paraId="2A7D552E" w14:textId="752177D9" w:rsidR="00BF473B" w:rsidRDefault="00BF473B" w:rsidP="006573AC">
            <w:pPr>
              <w:pStyle w:val="TableRowCentered"/>
              <w:jc w:val="left"/>
              <w:rPr>
                <w:sz w:val="22"/>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8E1BC50" w:rsidR="00E66558" w:rsidRDefault="009C4A9E">
            <w:pPr>
              <w:pStyle w:val="TableRowCentered"/>
              <w:jc w:val="left"/>
              <w:rPr>
                <w:sz w:val="22"/>
              </w:rPr>
            </w:pPr>
            <w:r>
              <w:rPr>
                <w:sz w:val="22"/>
              </w:rPr>
              <w:t>1, 4</w:t>
            </w:r>
          </w:p>
        </w:tc>
      </w:tr>
      <w:tr w:rsidR="00D32BF9" w14:paraId="5BEA936F" w14:textId="77777777" w:rsidTr="00FB2837">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F1DEA" w14:textId="77777777" w:rsidR="00D32BF9" w:rsidRPr="00D32BF9" w:rsidRDefault="00D32BF9">
            <w:pPr>
              <w:pStyle w:val="TableRow"/>
            </w:pPr>
            <w:r w:rsidRPr="00D32BF9">
              <w:t>Nurture</w:t>
            </w:r>
          </w:p>
          <w:p w14:paraId="3A87C99F" w14:textId="75D9EF58" w:rsidR="00D32BF9" w:rsidRPr="00D32BF9" w:rsidRDefault="00D32BF9">
            <w:pPr>
              <w:pStyle w:val="TableRow"/>
            </w:pPr>
            <w:r w:rsidRPr="00D32BF9">
              <w:t>Establish small group nurture interventions (using Boxall Profiling) for disadvantaged pupils who need support with their social, emotional and behavioural development</w:t>
            </w:r>
          </w:p>
        </w:tc>
        <w:tc>
          <w:tcPr>
            <w:tcW w:w="1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DCCFC" w14:textId="77777777" w:rsidR="00870F7E" w:rsidRPr="00870F7E" w:rsidRDefault="00870F7E" w:rsidP="00870F7E">
            <w:pPr>
              <w:pStyle w:val="TableRowCentered"/>
              <w:jc w:val="left"/>
              <w:rPr>
                <w:szCs w:val="24"/>
              </w:rPr>
            </w:pPr>
            <w:r w:rsidRPr="00870F7E">
              <w:rPr>
                <w:szCs w:val="24"/>
              </w:rPr>
              <w:t>The EEF guidance is based on a range of the best available evidence:</w:t>
            </w:r>
          </w:p>
          <w:p w14:paraId="4430842F" w14:textId="7DB3CE6B" w:rsidR="00870F7E" w:rsidRPr="00870F7E" w:rsidRDefault="008C22DD">
            <w:pPr>
              <w:pStyle w:val="TableRowCentered"/>
              <w:jc w:val="left"/>
              <w:rPr>
                <w:szCs w:val="24"/>
              </w:rPr>
            </w:pPr>
            <w:hyperlink r:id="rId14" w:history="1">
              <w:r w:rsidR="00870F7E" w:rsidRPr="00870F7E">
                <w:rPr>
                  <w:rStyle w:val="Hyperlink"/>
                  <w:szCs w:val="24"/>
                </w:rPr>
                <w:t>https://educationendowmentfoundation.org.uk/education-evidence/teaching-learning-toolkit/social-and-emotional-learning</w:t>
              </w:r>
            </w:hyperlink>
          </w:p>
          <w:p w14:paraId="064EA3C5" w14:textId="5A15346B" w:rsidR="00D32BF9" w:rsidRDefault="008C22DD">
            <w:pPr>
              <w:pStyle w:val="TableRowCentered"/>
              <w:jc w:val="left"/>
              <w:rPr>
                <w:sz w:val="22"/>
              </w:rPr>
            </w:pPr>
            <w:hyperlink r:id="rId15" w:anchor="nurture" w:history="1">
              <w:r w:rsidR="00870F7E" w:rsidRPr="00870F7E">
                <w:rPr>
                  <w:rStyle w:val="Hyperlink"/>
                  <w:szCs w:val="24"/>
                </w:rPr>
                <w:t>https://new.boxallprofile.org/#nurture</w:t>
              </w:r>
            </w:hyperlink>
            <w:r w:rsidR="00870F7E">
              <w:rPr>
                <w:sz w:val="22"/>
              </w:rPr>
              <w:t xml:space="preserve"> </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D693A" w14:textId="2A0A04E4" w:rsidR="00D32BF9" w:rsidRDefault="009C4A9E">
            <w:pPr>
              <w:pStyle w:val="TableRowCentered"/>
              <w:jc w:val="left"/>
              <w:rPr>
                <w:sz w:val="22"/>
              </w:rPr>
            </w:pPr>
            <w:r>
              <w:rPr>
                <w:sz w:val="22"/>
              </w:rPr>
              <w:t>1, 3, 4</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2854F8B3" w:rsidR="00E66558" w:rsidRDefault="009D71E8">
      <w:pPr>
        <w:spacing w:before="240" w:after="120"/>
      </w:pPr>
      <w:r>
        <w:t>Budgeted cost: £</w:t>
      </w:r>
      <w:r w:rsidR="00D45D4F">
        <w:t>10,175</w:t>
      </w:r>
    </w:p>
    <w:tbl>
      <w:tblPr>
        <w:tblW w:w="5294" w:type="pct"/>
        <w:tblInd w:w="-856" w:type="dxa"/>
        <w:tblCellMar>
          <w:left w:w="10" w:type="dxa"/>
          <w:right w:w="10" w:type="dxa"/>
        </w:tblCellMar>
        <w:tblLook w:val="04A0" w:firstRow="1" w:lastRow="0" w:firstColumn="1" w:lastColumn="0" w:noHBand="0" w:noVBand="1"/>
      </w:tblPr>
      <w:tblGrid>
        <w:gridCol w:w="1602"/>
        <w:gridCol w:w="12550"/>
        <w:gridCol w:w="1264"/>
      </w:tblGrid>
      <w:tr w:rsidR="00E66558" w14:paraId="2A7D5537" w14:textId="77777777" w:rsidTr="0067688E">
        <w:tc>
          <w:tcPr>
            <w:tcW w:w="16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129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C33206" w14:paraId="2A7D553B" w14:textId="77777777" w:rsidTr="0067688E">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12373D" w14:textId="142F5405" w:rsidR="00C33206" w:rsidRPr="00D32BF9" w:rsidRDefault="00D32BF9" w:rsidP="00D32BF9">
            <w:pPr>
              <w:pStyle w:val="TableRow"/>
              <w:ind w:left="0"/>
            </w:pPr>
            <w:r w:rsidRPr="00D32BF9">
              <w:t xml:space="preserve">Attendance and Punctuality </w:t>
            </w:r>
          </w:p>
          <w:p w14:paraId="1E80CE96" w14:textId="77777777" w:rsidR="00D32BF9" w:rsidRPr="00D32BF9" w:rsidRDefault="00D32BF9" w:rsidP="00D32BF9">
            <w:pPr>
              <w:pStyle w:val="TableRow"/>
            </w:pPr>
            <w:r w:rsidRPr="00D32BF9">
              <w:t>To improve attendance (96.5%+) and punctuality by:</w:t>
            </w:r>
          </w:p>
          <w:p w14:paraId="4E8205B1" w14:textId="77777777" w:rsidR="00D32BF9" w:rsidRPr="00D32BF9" w:rsidRDefault="00D32BF9" w:rsidP="00D32BF9">
            <w:pPr>
              <w:pStyle w:val="TableRow"/>
            </w:pPr>
            <w:r w:rsidRPr="00D32BF9">
              <w:t>i)</w:t>
            </w:r>
            <w:r w:rsidRPr="00D32BF9">
              <w:tab/>
              <w:t xml:space="preserve">contacting parents on first day of absence </w:t>
            </w:r>
          </w:p>
          <w:p w14:paraId="6D212FCA" w14:textId="77777777" w:rsidR="00D32BF9" w:rsidRPr="00D32BF9" w:rsidRDefault="00D32BF9" w:rsidP="00D32BF9">
            <w:pPr>
              <w:pStyle w:val="TableRow"/>
            </w:pPr>
            <w:r w:rsidRPr="00D32BF9">
              <w:t>ii)</w:t>
            </w:r>
            <w:r w:rsidRPr="00D32BF9">
              <w:tab/>
              <w:t>FOS attendance protocols followed</w:t>
            </w:r>
          </w:p>
          <w:p w14:paraId="2D334614" w14:textId="77777777" w:rsidR="00D32BF9" w:rsidRPr="00D32BF9" w:rsidRDefault="00D32BF9" w:rsidP="00D32BF9">
            <w:pPr>
              <w:pStyle w:val="TableRow"/>
            </w:pPr>
            <w:r w:rsidRPr="00D32BF9">
              <w:t>iii)</w:t>
            </w:r>
            <w:r w:rsidRPr="00D32BF9">
              <w:tab/>
              <w:t>Parents evening discussions</w:t>
            </w:r>
          </w:p>
          <w:p w14:paraId="2314441C" w14:textId="2975B0AA" w:rsidR="00D32BF9" w:rsidRDefault="00D32BF9" w:rsidP="00D32BF9">
            <w:pPr>
              <w:pStyle w:val="TableRow"/>
            </w:pPr>
            <w:r w:rsidRPr="00D32BF9">
              <w:t>iv)</w:t>
            </w:r>
            <w:r w:rsidRPr="00D32BF9">
              <w:tab/>
              <w:t>3 lates = meeting with teacher, 6 lates = meeting with SLT</w:t>
            </w:r>
          </w:p>
          <w:p w14:paraId="230733A4" w14:textId="43995DFD" w:rsidR="0010100D" w:rsidRPr="00D32BF9" w:rsidRDefault="0010100D" w:rsidP="00D32BF9">
            <w:pPr>
              <w:pStyle w:val="TableRow"/>
            </w:pPr>
            <w:r>
              <w:t>9 lates = punctuality letter issued</w:t>
            </w:r>
          </w:p>
          <w:p w14:paraId="5B85ADA7" w14:textId="77777777" w:rsidR="00D32BF9" w:rsidRPr="00D32BF9" w:rsidRDefault="00D32BF9" w:rsidP="00D32BF9">
            <w:pPr>
              <w:pStyle w:val="TableRow"/>
            </w:pPr>
          </w:p>
          <w:p w14:paraId="2A7D5538" w14:textId="3263C473" w:rsidR="00D32BF9" w:rsidRPr="00D32BF9" w:rsidRDefault="00D32BF9" w:rsidP="00D32BF9">
            <w:pPr>
              <w:pStyle w:val="TableRow"/>
              <w:ind w:left="0"/>
            </w:pPr>
            <w:r w:rsidRPr="00D32BF9">
              <w:t>School are to explore sharing a part-time education welfare officer with another school to support families with attendance and acute need</w:t>
            </w:r>
          </w:p>
        </w:tc>
        <w:tc>
          <w:tcPr>
            <w:tcW w:w="12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6B7C5" w14:textId="77777777" w:rsidR="00C33206" w:rsidRPr="00FB2837" w:rsidRDefault="00FB2837" w:rsidP="00FB2837">
            <w:pPr>
              <w:pStyle w:val="TableRowCentered"/>
              <w:ind w:left="0"/>
              <w:jc w:val="left"/>
              <w:rPr>
                <w:szCs w:val="24"/>
              </w:rPr>
            </w:pPr>
            <w:r w:rsidRPr="00FB2837">
              <w:rPr>
                <w:szCs w:val="24"/>
              </w:rPr>
              <w:t>The DfE guidance has been informed by engagement with schools that have significantly reduced levels of absence and persistent absence.</w:t>
            </w:r>
          </w:p>
          <w:p w14:paraId="642D4AA7" w14:textId="77777777" w:rsidR="00FB2837" w:rsidRPr="00FB2837" w:rsidRDefault="00FB2837" w:rsidP="00FB2837">
            <w:pPr>
              <w:pStyle w:val="TableRowCentered"/>
              <w:ind w:left="0"/>
              <w:jc w:val="left"/>
              <w:rPr>
                <w:szCs w:val="24"/>
              </w:rPr>
            </w:pPr>
          </w:p>
          <w:p w14:paraId="65EBF488" w14:textId="52C8AD10" w:rsidR="00FB2837" w:rsidRPr="00FB2837" w:rsidRDefault="008C22DD" w:rsidP="00FB2837">
            <w:pPr>
              <w:pStyle w:val="TableRowCentered"/>
              <w:ind w:left="0"/>
              <w:jc w:val="left"/>
              <w:rPr>
                <w:szCs w:val="24"/>
              </w:rPr>
            </w:pPr>
            <w:hyperlink r:id="rId16" w:history="1">
              <w:r w:rsidR="00FB2837" w:rsidRPr="00FB2837">
                <w:rPr>
                  <w:rStyle w:val="Hyperlink"/>
                  <w:szCs w:val="24"/>
                </w:rPr>
                <w:t>https://www.gov.uk/government/publications/school-attendance/framework-for-securing-full-attendance-actions-for-schools-and-local-authorities</w:t>
              </w:r>
            </w:hyperlink>
          </w:p>
          <w:p w14:paraId="7B7DF9FC" w14:textId="77777777" w:rsidR="00FB2837" w:rsidRDefault="00FB2837" w:rsidP="00FB2837">
            <w:pPr>
              <w:pStyle w:val="TableRowCentered"/>
              <w:ind w:left="0"/>
              <w:jc w:val="left"/>
              <w:rPr>
                <w:sz w:val="22"/>
              </w:rPr>
            </w:pPr>
          </w:p>
          <w:p w14:paraId="2E8A14EF" w14:textId="77777777" w:rsidR="00FB2837" w:rsidRDefault="00FB2837" w:rsidP="00FB2837">
            <w:pPr>
              <w:pStyle w:val="TableRowCentered"/>
              <w:ind w:left="0"/>
              <w:jc w:val="left"/>
              <w:rPr>
                <w:sz w:val="22"/>
              </w:rPr>
            </w:pPr>
          </w:p>
          <w:p w14:paraId="19ED9C13" w14:textId="77777777" w:rsidR="00FB2837" w:rsidRDefault="00FB2837" w:rsidP="00FB2837">
            <w:pPr>
              <w:pStyle w:val="TableRowCentered"/>
              <w:ind w:left="0"/>
              <w:jc w:val="left"/>
              <w:rPr>
                <w:sz w:val="22"/>
              </w:rPr>
            </w:pPr>
          </w:p>
          <w:p w14:paraId="6AF14227" w14:textId="77777777" w:rsidR="00FB2837" w:rsidRDefault="00FB2837" w:rsidP="00FB2837">
            <w:pPr>
              <w:pStyle w:val="TableRowCentered"/>
              <w:ind w:left="0"/>
              <w:jc w:val="left"/>
              <w:rPr>
                <w:sz w:val="22"/>
              </w:rPr>
            </w:pPr>
          </w:p>
          <w:p w14:paraId="0C2DE619" w14:textId="77777777" w:rsidR="00FB2837" w:rsidRDefault="00FB2837" w:rsidP="00FB2837">
            <w:pPr>
              <w:pStyle w:val="TableRowCentered"/>
              <w:ind w:left="0"/>
              <w:jc w:val="left"/>
              <w:rPr>
                <w:sz w:val="22"/>
              </w:rPr>
            </w:pPr>
          </w:p>
          <w:p w14:paraId="6E945779" w14:textId="77777777" w:rsidR="00FB2837" w:rsidRDefault="00FB2837" w:rsidP="00FB2837">
            <w:pPr>
              <w:pStyle w:val="TableRowCentered"/>
              <w:ind w:left="0"/>
              <w:jc w:val="left"/>
              <w:rPr>
                <w:sz w:val="22"/>
              </w:rPr>
            </w:pPr>
          </w:p>
          <w:p w14:paraId="4FA6B32B" w14:textId="77777777" w:rsidR="00FB2837" w:rsidRDefault="00FB2837" w:rsidP="00FB2837">
            <w:pPr>
              <w:pStyle w:val="TableRowCentered"/>
              <w:ind w:left="0"/>
              <w:jc w:val="left"/>
              <w:rPr>
                <w:sz w:val="22"/>
              </w:rPr>
            </w:pPr>
          </w:p>
          <w:p w14:paraId="766EF47E" w14:textId="77777777" w:rsidR="00FB2837" w:rsidRDefault="00FB2837" w:rsidP="00FB2837">
            <w:pPr>
              <w:pStyle w:val="TableRowCentered"/>
              <w:ind w:left="0"/>
              <w:jc w:val="left"/>
              <w:rPr>
                <w:sz w:val="22"/>
              </w:rPr>
            </w:pPr>
          </w:p>
          <w:p w14:paraId="25ECE84B" w14:textId="77777777" w:rsidR="00FB2837" w:rsidRDefault="00FB2837" w:rsidP="00FB2837">
            <w:pPr>
              <w:pStyle w:val="TableRowCentered"/>
              <w:ind w:left="0"/>
              <w:jc w:val="left"/>
              <w:rPr>
                <w:sz w:val="22"/>
              </w:rPr>
            </w:pPr>
          </w:p>
          <w:p w14:paraId="4ACCD473" w14:textId="77777777" w:rsidR="00FB2837" w:rsidRDefault="00FB2837" w:rsidP="00FB2837">
            <w:pPr>
              <w:pStyle w:val="TableRowCentered"/>
              <w:ind w:left="0"/>
              <w:jc w:val="left"/>
              <w:rPr>
                <w:sz w:val="22"/>
              </w:rPr>
            </w:pPr>
          </w:p>
          <w:p w14:paraId="2A7D5539" w14:textId="0C9853A0" w:rsidR="00FB2837" w:rsidRDefault="00FB2837" w:rsidP="00FB2837">
            <w:pPr>
              <w:pStyle w:val="TableRowCentered"/>
              <w:ind w:left="0"/>
              <w:jc w:val="left"/>
              <w:rPr>
                <w:sz w:val="22"/>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49A3CE91" w:rsidR="00C33206" w:rsidRDefault="00C33206" w:rsidP="00C33206">
            <w:pPr>
              <w:pStyle w:val="TableRowCentered"/>
              <w:jc w:val="left"/>
              <w:rPr>
                <w:sz w:val="22"/>
              </w:rPr>
            </w:pPr>
            <w:r>
              <w:rPr>
                <w:sz w:val="22"/>
              </w:rPr>
              <w:t>2</w:t>
            </w:r>
          </w:p>
        </w:tc>
      </w:tr>
      <w:tr w:rsidR="00C33206" w14:paraId="2A7D553F" w14:textId="77777777" w:rsidTr="0067688E">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C6FB7" w14:textId="77777777" w:rsidR="00C33206" w:rsidRPr="00D32BF9" w:rsidRDefault="00D32BF9" w:rsidP="00C33206">
            <w:pPr>
              <w:pStyle w:val="TableRow"/>
            </w:pPr>
            <w:r w:rsidRPr="00D32BF9">
              <w:t>Extra curricular opportunities</w:t>
            </w:r>
          </w:p>
          <w:p w14:paraId="2A7D553C" w14:textId="3C59D757" w:rsidR="00D32BF9" w:rsidRPr="00D32BF9" w:rsidRDefault="00D32BF9" w:rsidP="00C33206">
            <w:pPr>
              <w:pStyle w:val="TableRow"/>
            </w:pPr>
            <w:r w:rsidRPr="00D32BF9">
              <w:t>To provide daily after school clubs. To monitor the uptake of extra curricular activity for disadvantaged pupils and to encourage them to access these opportunities.</w:t>
            </w:r>
          </w:p>
        </w:tc>
        <w:tc>
          <w:tcPr>
            <w:tcW w:w="12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D2045" w14:textId="77777777" w:rsidR="0067688E" w:rsidRPr="0067688E" w:rsidRDefault="0067688E" w:rsidP="0067688E">
            <w:pPr>
              <w:pStyle w:val="TableRowCentered"/>
              <w:jc w:val="left"/>
              <w:rPr>
                <w:szCs w:val="24"/>
              </w:rPr>
            </w:pPr>
            <w:r w:rsidRPr="0067688E">
              <w:rPr>
                <w:szCs w:val="24"/>
              </w:rPr>
              <w:t>The EEF guidance is based on a range of the best available evidence:</w:t>
            </w:r>
          </w:p>
          <w:p w14:paraId="4D4A759D" w14:textId="4BDCAB0E" w:rsidR="00C33206" w:rsidRPr="0067688E" w:rsidRDefault="008C22DD" w:rsidP="0067688E">
            <w:pPr>
              <w:pStyle w:val="TableRowCentered"/>
              <w:ind w:left="0"/>
              <w:jc w:val="left"/>
              <w:rPr>
                <w:szCs w:val="24"/>
              </w:rPr>
            </w:pPr>
            <w:hyperlink r:id="rId17" w:history="1">
              <w:r w:rsidR="0067688E" w:rsidRPr="0067688E">
                <w:rPr>
                  <w:rStyle w:val="Hyperlink"/>
                  <w:szCs w:val="24"/>
                </w:rPr>
                <w:t>https://educationendowmentfoundation.org.uk/education-evidence/teaching-learning-toolkit/extending-school-time</w:t>
              </w:r>
            </w:hyperlink>
          </w:p>
          <w:p w14:paraId="0333A02F" w14:textId="68799281" w:rsidR="0067688E" w:rsidRPr="0067688E" w:rsidRDefault="008C22DD" w:rsidP="0067688E">
            <w:pPr>
              <w:pStyle w:val="TableRowCentered"/>
              <w:ind w:left="0"/>
              <w:jc w:val="left"/>
              <w:rPr>
                <w:szCs w:val="24"/>
              </w:rPr>
            </w:pPr>
            <w:hyperlink r:id="rId18" w:history="1">
              <w:r w:rsidR="0067688E" w:rsidRPr="0067688E">
                <w:rPr>
                  <w:rStyle w:val="Hyperlink"/>
                  <w:szCs w:val="24"/>
                </w:rPr>
                <w:t>https://educationendowmentfoundation.org.uk/education-evidence/teaching-learning-toolkit/arts-participation</w:t>
              </w:r>
            </w:hyperlink>
          </w:p>
          <w:p w14:paraId="13A66D3A" w14:textId="18AED579" w:rsidR="0067688E" w:rsidRPr="0067688E" w:rsidRDefault="008C22DD" w:rsidP="0067688E">
            <w:pPr>
              <w:pStyle w:val="TableRowCentered"/>
              <w:ind w:left="0"/>
              <w:jc w:val="left"/>
              <w:rPr>
                <w:szCs w:val="24"/>
              </w:rPr>
            </w:pPr>
            <w:hyperlink r:id="rId19" w:history="1">
              <w:r w:rsidR="0067688E" w:rsidRPr="0067688E">
                <w:rPr>
                  <w:rStyle w:val="Hyperlink"/>
                  <w:szCs w:val="24"/>
                </w:rPr>
                <w:t>https://educationendowmentfoundation.org.uk/education-evidence/teaching-learning-toolkit/physical-activity</w:t>
              </w:r>
            </w:hyperlink>
          </w:p>
          <w:p w14:paraId="6FBA2CCC" w14:textId="090E8169" w:rsidR="0067688E" w:rsidRPr="0067688E" w:rsidRDefault="008C22DD" w:rsidP="0067688E">
            <w:pPr>
              <w:pStyle w:val="TableRowCentered"/>
              <w:ind w:left="0"/>
              <w:jc w:val="left"/>
              <w:rPr>
                <w:szCs w:val="24"/>
              </w:rPr>
            </w:pPr>
            <w:hyperlink r:id="rId20" w:history="1">
              <w:r w:rsidR="0067688E" w:rsidRPr="0067688E">
                <w:rPr>
                  <w:rStyle w:val="Hyperlink"/>
                  <w:szCs w:val="24"/>
                </w:rPr>
                <w:t>https://educationendowmentfoundation.org.uk/projects-and-evaluation/projects/childrens-university</w:t>
              </w:r>
            </w:hyperlink>
          </w:p>
          <w:p w14:paraId="40A604F5" w14:textId="77777777" w:rsidR="0067688E" w:rsidRPr="0067688E" w:rsidRDefault="0067688E" w:rsidP="0067688E">
            <w:pPr>
              <w:pStyle w:val="TableRowCentered"/>
              <w:jc w:val="left"/>
              <w:rPr>
                <w:szCs w:val="24"/>
              </w:rPr>
            </w:pPr>
            <w:r w:rsidRPr="0067688E">
              <w:rPr>
                <w:szCs w:val="24"/>
              </w:rPr>
              <w:t>The Social Mobility Council guidance has been informed by research undertook by 100 young people and parents across four different English localities. These datasets provide a unique opportunity to understand both national level patterns (quantifying gaps in participation) as well as detailed explanations for what might</w:t>
            </w:r>
          </w:p>
          <w:p w14:paraId="3C1902E5" w14:textId="77777777" w:rsidR="0067688E" w:rsidRPr="0067688E" w:rsidRDefault="0067688E" w:rsidP="0067688E">
            <w:pPr>
              <w:pStyle w:val="TableRowCentered"/>
              <w:jc w:val="left"/>
              <w:rPr>
                <w:szCs w:val="24"/>
              </w:rPr>
            </w:pPr>
            <w:r w:rsidRPr="0067688E">
              <w:rPr>
                <w:szCs w:val="24"/>
              </w:rPr>
              <w:t>be driving them (qualifying and explaining barriers to participation).</w:t>
            </w:r>
          </w:p>
          <w:p w14:paraId="2690E781" w14:textId="77777777" w:rsidR="0067688E" w:rsidRPr="0067688E" w:rsidRDefault="008C22DD" w:rsidP="0067688E">
            <w:pPr>
              <w:pStyle w:val="TableRowCentered"/>
              <w:jc w:val="left"/>
              <w:rPr>
                <w:szCs w:val="24"/>
              </w:rPr>
            </w:pPr>
            <w:hyperlink r:id="rId21" w:history="1">
              <w:r w:rsidR="0067688E" w:rsidRPr="0067688E">
                <w:rPr>
                  <w:rStyle w:val="Hyperlink"/>
                  <w:szCs w:val="24"/>
                </w:rPr>
                <w:t>https://assets.publishing.service.gov.uk/government/uploads/system/uploads/attachment_data/file/818679/An_Unequal_Playing_Field_report.pdf</w:t>
              </w:r>
            </w:hyperlink>
          </w:p>
          <w:p w14:paraId="5C5E4B72" w14:textId="77777777" w:rsidR="0067688E" w:rsidRDefault="0067688E" w:rsidP="0067688E">
            <w:pPr>
              <w:pStyle w:val="TableRowCentered"/>
              <w:ind w:left="0"/>
              <w:jc w:val="left"/>
              <w:rPr>
                <w:sz w:val="22"/>
              </w:rPr>
            </w:pPr>
          </w:p>
          <w:p w14:paraId="02507D54" w14:textId="77777777" w:rsidR="0067688E" w:rsidRDefault="0067688E" w:rsidP="0067688E">
            <w:pPr>
              <w:pStyle w:val="TableRowCentered"/>
              <w:ind w:left="0"/>
              <w:jc w:val="left"/>
              <w:rPr>
                <w:sz w:val="22"/>
              </w:rPr>
            </w:pPr>
          </w:p>
          <w:p w14:paraId="3385B987" w14:textId="77777777" w:rsidR="0067688E" w:rsidRDefault="0067688E" w:rsidP="0067688E">
            <w:pPr>
              <w:pStyle w:val="TableRowCentered"/>
              <w:ind w:left="0"/>
              <w:jc w:val="left"/>
              <w:rPr>
                <w:sz w:val="22"/>
              </w:rPr>
            </w:pPr>
          </w:p>
          <w:p w14:paraId="12FABD92" w14:textId="77777777" w:rsidR="0067688E" w:rsidRDefault="0067688E" w:rsidP="0067688E">
            <w:pPr>
              <w:pStyle w:val="TableRowCentered"/>
              <w:ind w:left="0"/>
              <w:jc w:val="left"/>
              <w:rPr>
                <w:sz w:val="22"/>
              </w:rPr>
            </w:pPr>
          </w:p>
          <w:p w14:paraId="21BEEF3A" w14:textId="77777777" w:rsidR="0067688E" w:rsidRDefault="0067688E" w:rsidP="0067688E">
            <w:pPr>
              <w:pStyle w:val="TableRowCentered"/>
              <w:ind w:left="0"/>
              <w:jc w:val="left"/>
              <w:rPr>
                <w:sz w:val="22"/>
              </w:rPr>
            </w:pPr>
          </w:p>
          <w:p w14:paraId="6A238D97" w14:textId="77777777" w:rsidR="0067688E" w:rsidRDefault="0067688E" w:rsidP="0067688E">
            <w:pPr>
              <w:pStyle w:val="TableRowCentered"/>
              <w:ind w:left="0"/>
              <w:jc w:val="left"/>
              <w:rPr>
                <w:sz w:val="22"/>
              </w:rPr>
            </w:pPr>
          </w:p>
          <w:p w14:paraId="2A7D553D" w14:textId="34EC591D" w:rsidR="0067688E" w:rsidRDefault="0067688E" w:rsidP="0067688E">
            <w:pPr>
              <w:pStyle w:val="TableRowCentered"/>
              <w:ind w:left="0"/>
              <w:jc w:val="left"/>
              <w:rPr>
                <w:sz w:val="22"/>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446E732" w:rsidR="00C33206" w:rsidRDefault="003046F3" w:rsidP="00C33206">
            <w:pPr>
              <w:pStyle w:val="TableRowCentered"/>
              <w:jc w:val="left"/>
              <w:rPr>
                <w:sz w:val="22"/>
              </w:rPr>
            </w:pPr>
            <w:r>
              <w:rPr>
                <w:sz w:val="22"/>
              </w:rPr>
              <w:t>3</w:t>
            </w:r>
          </w:p>
        </w:tc>
      </w:tr>
      <w:tr w:rsidR="00C33206" w14:paraId="01A844A0" w14:textId="77777777" w:rsidTr="0067688E">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8EA3B8" w14:textId="30BC5D58" w:rsidR="00D32BF9" w:rsidRPr="00D32BF9" w:rsidRDefault="00D32BF9" w:rsidP="00C33206">
            <w:pPr>
              <w:pStyle w:val="TableRow"/>
            </w:pPr>
            <w:r w:rsidRPr="00D32BF9">
              <w:t xml:space="preserve">Social / cultural experiences </w:t>
            </w:r>
          </w:p>
          <w:p w14:paraId="0D4BB6CF" w14:textId="7185AEC5" w:rsidR="00C33206" w:rsidRPr="00D32BF9" w:rsidRDefault="00D32BF9" w:rsidP="00C33206">
            <w:pPr>
              <w:pStyle w:val="TableRow"/>
            </w:pPr>
            <w:r w:rsidRPr="00D32BF9">
              <w:t xml:space="preserve">To provide termly visits / visitor opportunities. To monitor the uptake of visits / visitors for disadvantaged pupils and to encourage them to access these opportunities.  </w:t>
            </w:r>
          </w:p>
        </w:tc>
        <w:tc>
          <w:tcPr>
            <w:tcW w:w="12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D6FC6" w14:textId="77777777" w:rsidR="003046F3" w:rsidRPr="0067688E" w:rsidRDefault="003046F3" w:rsidP="003046F3">
            <w:pPr>
              <w:pStyle w:val="TableRowCentered"/>
              <w:jc w:val="left"/>
              <w:rPr>
                <w:szCs w:val="24"/>
              </w:rPr>
            </w:pPr>
            <w:r w:rsidRPr="0067688E">
              <w:rPr>
                <w:szCs w:val="24"/>
              </w:rPr>
              <w:t>The EEF guidance is based on a range of the best available evidence:</w:t>
            </w:r>
          </w:p>
          <w:p w14:paraId="64E5C19D" w14:textId="77777777" w:rsidR="003046F3" w:rsidRPr="0067688E" w:rsidRDefault="008C22DD" w:rsidP="003046F3">
            <w:pPr>
              <w:pStyle w:val="TableRowCentered"/>
              <w:ind w:left="0"/>
              <w:jc w:val="left"/>
              <w:rPr>
                <w:szCs w:val="24"/>
              </w:rPr>
            </w:pPr>
            <w:hyperlink r:id="rId22" w:history="1">
              <w:r w:rsidR="003046F3" w:rsidRPr="0067688E">
                <w:rPr>
                  <w:rStyle w:val="Hyperlink"/>
                  <w:szCs w:val="24"/>
                </w:rPr>
                <w:t>https://educationendowmentfoundation.org.uk/education-evidence/teaching-learning-toolkit/extending-school-time</w:t>
              </w:r>
            </w:hyperlink>
          </w:p>
          <w:p w14:paraId="5D419733" w14:textId="77777777" w:rsidR="003046F3" w:rsidRPr="0067688E" w:rsidRDefault="008C22DD" w:rsidP="003046F3">
            <w:pPr>
              <w:pStyle w:val="TableRowCentered"/>
              <w:ind w:left="0"/>
              <w:jc w:val="left"/>
              <w:rPr>
                <w:szCs w:val="24"/>
              </w:rPr>
            </w:pPr>
            <w:hyperlink r:id="rId23" w:history="1">
              <w:r w:rsidR="003046F3" w:rsidRPr="0067688E">
                <w:rPr>
                  <w:rStyle w:val="Hyperlink"/>
                  <w:szCs w:val="24"/>
                </w:rPr>
                <w:t>https://educationendowmentfoundation.org.uk/education-evidence/teaching-learning-toolkit/arts-participation</w:t>
              </w:r>
            </w:hyperlink>
          </w:p>
          <w:p w14:paraId="38526056" w14:textId="77777777" w:rsidR="003046F3" w:rsidRPr="0067688E" w:rsidRDefault="008C22DD" w:rsidP="003046F3">
            <w:pPr>
              <w:pStyle w:val="TableRowCentered"/>
              <w:ind w:left="0"/>
              <w:jc w:val="left"/>
              <w:rPr>
                <w:szCs w:val="24"/>
              </w:rPr>
            </w:pPr>
            <w:hyperlink r:id="rId24" w:history="1">
              <w:r w:rsidR="003046F3" w:rsidRPr="0067688E">
                <w:rPr>
                  <w:rStyle w:val="Hyperlink"/>
                  <w:szCs w:val="24"/>
                </w:rPr>
                <w:t>https://educationendowmentfoundation.org.uk/education-evidence/teaching-learning-toolkit/physical-activity</w:t>
              </w:r>
            </w:hyperlink>
          </w:p>
          <w:p w14:paraId="4B4690CB" w14:textId="77777777" w:rsidR="003046F3" w:rsidRPr="0067688E" w:rsidRDefault="008C22DD" w:rsidP="003046F3">
            <w:pPr>
              <w:pStyle w:val="TableRowCentered"/>
              <w:ind w:left="0"/>
              <w:jc w:val="left"/>
              <w:rPr>
                <w:szCs w:val="24"/>
              </w:rPr>
            </w:pPr>
            <w:hyperlink r:id="rId25" w:history="1">
              <w:r w:rsidR="003046F3" w:rsidRPr="0067688E">
                <w:rPr>
                  <w:rStyle w:val="Hyperlink"/>
                  <w:szCs w:val="24"/>
                </w:rPr>
                <w:t>https://educationendowmentfoundation.org.uk/projects-and-evaluation/projects/childrens-university</w:t>
              </w:r>
            </w:hyperlink>
          </w:p>
          <w:p w14:paraId="6D2D9582" w14:textId="77777777" w:rsidR="003046F3" w:rsidRPr="0067688E" w:rsidRDefault="003046F3" w:rsidP="003046F3">
            <w:pPr>
              <w:pStyle w:val="TableRowCentered"/>
              <w:jc w:val="left"/>
              <w:rPr>
                <w:szCs w:val="24"/>
              </w:rPr>
            </w:pPr>
            <w:r w:rsidRPr="0067688E">
              <w:rPr>
                <w:szCs w:val="24"/>
              </w:rPr>
              <w:t>The Social Mobility Council guidance has been informed by research undertook by 100 young people and parents across four different English localities. These datasets provide a unique opportunity to understand both national level patterns (quantifying gaps in participation) as well as detailed explanations for what might</w:t>
            </w:r>
          </w:p>
          <w:p w14:paraId="08CD8D4C" w14:textId="77777777" w:rsidR="003046F3" w:rsidRPr="0067688E" w:rsidRDefault="003046F3" w:rsidP="003046F3">
            <w:pPr>
              <w:pStyle w:val="TableRowCentered"/>
              <w:jc w:val="left"/>
              <w:rPr>
                <w:szCs w:val="24"/>
              </w:rPr>
            </w:pPr>
            <w:r w:rsidRPr="0067688E">
              <w:rPr>
                <w:szCs w:val="24"/>
              </w:rPr>
              <w:t>be driving them (qualifying and explaining barriers to participation).</w:t>
            </w:r>
          </w:p>
          <w:p w14:paraId="50B253D5" w14:textId="77777777" w:rsidR="003046F3" w:rsidRPr="0067688E" w:rsidRDefault="008C22DD" w:rsidP="003046F3">
            <w:pPr>
              <w:pStyle w:val="TableRowCentered"/>
              <w:jc w:val="left"/>
              <w:rPr>
                <w:szCs w:val="24"/>
              </w:rPr>
            </w:pPr>
            <w:hyperlink r:id="rId26" w:history="1">
              <w:r w:rsidR="003046F3" w:rsidRPr="0067688E">
                <w:rPr>
                  <w:rStyle w:val="Hyperlink"/>
                  <w:szCs w:val="24"/>
                </w:rPr>
                <w:t>https://assets.publishing.service.gov.uk/government/uploads/system/uploads/attachment_data/file/818679/An_Unequal_Playing_Field_report.pdf</w:t>
              </w:r>
            </w:hyperlink>
          </w:p>
          <w:p w14:paraId="0696C78B" w14:textId="189D432F" w:rsidR="00914C4D" w:rsidRDefault="00914C4D" w:rsidP="00C33206">
            <w:pPr>
              <w:pStyle w:val="TableRowCentered"/>
              <w:jc w:val="left"/>
              <w:rPr>
                <w:sz w:val="22"/>
              </w:rPr>
            </w:pPr>
          </w:p>
          <w:p w14:paraId="64272D27" w14:textId="4DFC0B28" w:rsidR="00914C4D" w:rsidRDefault="00914C4D" w:rsidP="00C33206">
            <w:pPr>
              <w:pStyle w:val="TableRowCentered"/>
              <w:jc w:val="left"/>
              <w:rPr>
                <w:sz w:val="22"/>
              </w:rPr>
            </w:pPr>
          </w:p>
          <w:p w14:paraId="5944DD23" w14:textId="41E47F3A" w:rsidR="00914C4D" w:rsidRDefault="00914C4D" w:rsidP="00C33206">
            <w:pPr>
              <w:pStyle w:val="TableRowCentered"/>
              <w:jc w:val="left"/>
              <w:rPr>
                <w:sz w:val="22"/>
              </w:rPr>
            </w:pPr>
          </w:p>
          <w:p w14:paraId="75F1A30B" w14:textId="77777777" w:rsidR="00914C4D" w:rsidRDefault="00914C4D" w:rsidP="00C33206">
            <w:pPr>
              <w:pStyle w:val="TableRowCentered"/>
              <w:jc w:val="left"/>
              <w:rPr>
                <w:sz w:val="22"/>
              </w:rPr>
            </w:pPr>
          </w:p>
          <w:p w14:paraId="2CB0C9B7" w14:textId="3D9B378D" w:rsidR="00D4027A" w:rsidRDefault="00D4027A" w:rsidP="00C33206">
            <w:pPr>
              <w:pStyle w:val="TableRowCentered"/>
              <w:jc w:val="left"/>
              <w:rPr>
                <w:sz w:val="22"/>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732E5" w14:textId="2C3862E0" w:rsidR="00C33206" w:rsidRDefault="00C33206" w:rsidP="00C33206">
            <w:pPr>
              <w:pStyle w:val="TableRowCentered"/>
              <w:jc w:val="left"/>
              <w:rPr>
                <w:sz w:val="22"/>
              </w:rPr>
            </w:pPr>
            <w:r>
              <w:rPr>
                <w:sz w:val="22"/>
              </w:rPr>
              <w:t>3</w:t>
            </w:r>
          </w:p>
        </w:tc>
      </w:tr>
    </w:tbl>
    <w:p w14:paraId="2A7D5540" w14:textId="77777777" w:rsidR="00E66558" w:rsidRDefault="00E66558">
      <w:pPr>
        <w:spacing w:before="240" w:after="0"/>
        <w:rPr>
          <w:b/>
          <w:bCs/>
          <w:color w:val="104F75"/>
          <w:sz w:val="28"/>
          <w:szCs w:val="28"/>
        </w:rPr>
      </w:pPr>
    </w:p>
    <w:p w14:paraId="2A7D5541" w14:textId="45A5768B" w:rsidR="00E66558" w:rsidRDefault="009D71E8" w:rsidP="00120AB1">
      <w:r>
        <w:rPr>
          <w:b/>
          <w:bCs/>
          <w:color w:val="104F75"/>
          <w:sz w:val="28"/>
          <w:szCs w:val="28"/>
        </w:rPr>
        <w:t>Total budgeted cost: £</w:t>
      </w:r>
      <w:r w:rsidR="00D45D4F">
        <w:rPr>
          <w:b/>
          <w:bCs/>
          <w:color w:val="104F75"/>
          <w:sz w:val="28"/>
          <w:szCs w:val="28"/>
        </w:rPr>
        <w:t>48,450</w:t>
      </w:r>
    </w:p>
    <w:p w14:paraId="2A7D5542" w14:textId="18352EC3" w:rsidR="00E66558" w:rsidRPr="00064366" w:rsidRDefault="009D71E8" w:rsidP="00064366">
      <w:pPr>
        <w:pStyle w:val="Heading1"/>
      </w:pPr>
      <w:r w:rsidRPr="00064366">
        <w:t>Part B: Review of the previous academic year</w:t>
      </w:r>
    </w:p>
    <w:p w14:paraId="751285B7" w14:textId="398D5155" w:rsidR="008B6404" w:rsidRDefault="00064366" w:rsidP="00173D4C">
      <w:pPr>
        <w:pStyle w:val="Heading2"/>
      </w:pPr>
      <w:r w:rsidRPr="00173D4C">
        <w:t>Outcomes for disadvantaged pupils</w:t>
      </w:r>
    </w:p>
    <w:p w14:paraId="317132ED" w14:textId="77777777" w:rsidR="00081283" w:rsidRPr="00944C9C" w:rsidRDefault="00081283" w:rsidP="00081283">
      <w:pPr>
        <w:spacing w:before="60"/>
        <w:rPr>
          <w:iCs/>
          <w:lang w:eastAsia="en-US"/>
        </w:rPr>
      </w:pPr>
      <w:r w:rsidRPr="00944C9C">
        <w:rPr>
          <w:iCs/>
          <w:lang w:eastAsia="en-US"/>
        </w:rPr>
        <w:t xml:space="preserve">The table below out details the outcomes for disadvantaged pupils in the 2022 / 23 academic year. </w:t>
      </w:r>
    </w:p>
    <w:tbl>
      <w:tblPr>
        <w:tblW w:w="5000" w:type="pct"/>
        <w:tblCellMar>
          <w:left w:w="10" w:type="dxa"/>
          <w:right w:w="10" w:type="dxa"/>
        </w:tblCellMar>
        <w:tblLook w:val="04A0" w:firstRow="1" w:lastRow="0" w:firstColumn="1" w:lastColumn="0" w:noHBand="0" w:noVBand="1"/>
      </w:tblPr>
      <w:tblGrid>
        <w:gridCol w:w="6963"/>
        <w:gridCol w:w="7597"/>
      </w:tblGrid>
      <w:tr w:rsidR="00081283" w14:paraId="5ABA8405" w14:textId="77777777" w:rsidTr="00A62E63">
        <w:tc>
          <w:tcPr>
            <w:tcW w:w="739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EBB7235" w14:textId="77777777" w:rsidR="00081283" w:rsidRDefault="00081283" w:rsidP="00A62E63">
            <w:pPr>
              <w:pStyle w:val="TableHeader"/>
              <w:jc w:val="left"/>
            </w:pPr>
            <w:r>
              <w:t>Intended outcome</w:t>
            </w:r>
          </w:p>
        </w:tc>
        <w:tc>
          <w:tcPr>
            <w:tcW w:w="71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819395D" w14:textId="77777777" w:rsidR="00081283" w:rsidRDefault="00081283" w:rsidP="00A62E63">
            <w:pPr>
              <w:pStyle w:val="TableHeader"/>
              <w:jc w:val="left"/>
            </w:pPr>
            <w:r>
              <w:t>Impact</w:t>
            </w:r>
          </w:p>
        </w:tc>
      </w:tr>
      <w:tr w:rsidR="00081283" w14:paraId="6D52993D" w14:textId="77777777" w:rsidTr="00A62E63">
        <w:tc>
          <w:tcPr>
            <w:tcW w:w="73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67887C" w14:textId="77777777" w:rsidR="00081283" w:rsidRDefault="00081283" w:rsidP="00A62E63">
            <w:pPr>
              <w:pStyle w:val="TableRow"/>
            </w:pPr>
            <w:r w:rsidRPr="00E27862">
              <w:rPr>
                <w:rFonts w:cs="Arial"/>
                <w:color w:val="auto"/>
              </w:rPr>
              <w:t xml:space="preserve">Improved </w:t>
            </w:r>
            <w:r>
              <w:rPr>
                <w:rFonts w:cs="Arial"/>
                <w:color w:val="auto"/>
              </w:rPr>
              <w:t>phonics</w:t>
            </w:r>
            <w:r w:rsidRPr="00E27862">
              <w:rPr>
                <w:rFonts w:cs="Arial"/>
                <w:color w:val="auto"/>
              </w:rPr>
              <w:t xml:space="preserve"> attainment among disadvantaged pupils. </w:t>
            </w:r>
          </w:p>
        </w:tc>
        <w:tc>
          <w:tcPr>
            <w:tcW w:w="71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EBE0A0" w14:textId="3D2BAD6B" w:rsidR="00081283" w:rsidRDefault="00081283" w:rsidP="00A62E63">
            <w:pPr>
              <w:pStyle w:val="TableRowCentered"/>
              <w:jc w:val="left"/>
              <w:rPr>
                <w:rFonts w:cs="Arial"/>
                <w:color w:val="auto"/>
              </w:rPr>
            </w:pPr>
            <w:r>
              <w:rPr>
                <w:rFonts w:cs="Arial"/>
                <w:color w:val="auto"/>
              </w:rPr>
              <w:t>Royd Nursery Infant School phonics attainment for disadvantaged pupils in 202</w:t>
            </w:r>
            <w:r w:rsidR="00A413E9">
              <w:rPr>
                <w:rFonts w:cs="Arial"/>
                <w:color w:val="auto"/>
              </w:rPr>
              <w:t>3</w:t>
            </w:r>
            <w:r>
              <w:rPr>
                <w:rFonts w:cs="Arial"/>
                <w:color w:val="auto"/>
              </w:rPr>
              <w:t>/2</w:t>
            </w:r>
            <w:r w:rsidR="00A413E9">
              <w:rPr>
                <w:rFonts w:cs="Arial"/>
                <w:color w:val="auto"/>
              </w:rPr>
              <w:t>4</w:t>
            </w:r>
            <w:r>
              <w:rPr>
                <w:rFonts w:cs="Arial"/>
                <w:color w:val="auto"/>
              </w:rPr>
              <w:t xml:space="preserve"> was 6</w:t>
            </w:r>
            <w:r w:rsidR="00A413E9">
              <w:rPr>
                <w:rFonts w:cs="Arial"/>
                <w:color w:val="auto"/>
              </w:rPr>
              <w:t>6.6</w:t>
            </w:r>
            <w:r>
              <w:rPr>
                <w:rFonts w:cs="Arial"/>
                <w:color w:val="auto"/>
              </w:rPr>
              <w:t xml:space="preserve">%. </w:t>
            </w:r>
          </w:p>
          <w:p w14:paraId="1A154354" w14:textId="4D9A62BE" w:rsidR="00081283" w:rsidRDefault="00081283" w:rsidP="00A62E63">
            <w:pPr>
              <w:pStyle w:val="TableRowCentered"/>
              <w:jc w:val="left"/>
              <w:rPr>
                <w:rFonts w:cs="Arial"/>
                <w:color w:val="auto"/>
              </w:rPr>
            </w:pPr>
            <w:r>
              <w:rPr>
                <w:rFonts w:cs="Arial"/>
                <w:color w:val="auto"/>
              </w:rPr>
              <w:t>National phonics attainment for disadvantaged pupils in 202</w:t>
            </w:r>
            <w:r w:rsidR="00825989">
              <w:rPr>
                <w:rFonts w:cs="Arial"/>
                <w:color w:val="auto"/>
              </w:rPr>
              <w:t>2</w:t>
            </w:r>
            <w:r>
              <w:rPr>
                <w:rFonts w:cs="Arial"/>
                <w:color w:val="auto"/>
              </w:rPr>
              <w:t>/2</w:t>
            </w:r>
            <w:r w:rsidR="00825989">
              <w:rPr>
                <w:rFonts w:cs="Arial"/>
                <w:color w:val="auto"/>
              </w:rPr>
              <w:t>3</w:t>
            </w:r>
            <w:r>
              <w:rPr>
                <w:rFonts w:cs="Arial"/>
                <w:color w:val="auto"/>
              </w:rPr>
              <w:t xml:space="preserve"> was 6</w:t>
            </w:r>
            <w:r w:rsidR="00825989">
              <w:rPr>
                <w:rFonts w:cs="Arial"/>
                <w:color w:val="auto"/>
              </w:rPr>
              <w:t>7</w:t>
            </w:r>
            <w:r>
              <w:rPr>
                <w:rFonts w:cs="Arial"/>
                <w:color w:val="auto"/>
              </w:rPr>
              <w:t xml:space="preserve">%. </w:t>
            </w:r>
          </w:p>
          <w:p w14:paraId="3CC4A1E4" w14:textId="77777777" w:rsidR="00081283" w:rsidRDefault="00081283" w:rsidP="00A62E63">
            <w:pPr>
              <w:pStyle w:val="TableRowCentered"/>
              <w:jc w:val="left"/>
              <w:rPr>
                <w:rFonts w:cs="Arial"/>
                <w:color w:val="auto"/>
              </w:rPr>
            </w:pPr>
          </w:p>
          <w:p w14:paraId="5E838064" w14:textId="77777777" w:rsidR="00081283" w:rsidRDefault="00081283" w:rsidP="00A62E63">
            <w:pPr>
              <w:pStyle w:val="TableRowCentered"/>
              <w:jc w:val="left"/>
              <w:rPr>
                <w:sz w:val="22"/>
                <w:szCs w:val="22"/>
              </w:rPr>
            </w:pPr>
            <w:r>
              <w:rPr>
                <w:rFonts w:cs="Arial"/>
                <w:color w:val="auto"/>
              </w:rPr>
              <w:t>Phonics</w:t>
            </w:r>
            <w:r w:rsidRPr="00E27862">
              <w:rPr>
                <w:rFonts w:cs="Arial"/>
                <w:color w:val="auto"/>
              </w:rPr>
              <w:t xml:space="preserve"> attainment among disadvantaged pupils</w:t>
            </w:r>
            <w:r>
              <w:rPr>
                <w:rFonts w:cs="Arial"/>
                <w:color w:val="auto"/>
              </w:rPr>
              <w:t xml:space="preserve"> has increased from 60% in 2021/22 to 61.5% in 2022/23. Pupil premium funding and recovery premium funding that has enabled interventions such as Lexia and RWI 1:1 have had a strong impact.</w:t>
            </w:r>
          </w:p>
          <w:p w14:paraId="75E170FD" w14:textId="0A23AD15" w:rsidR="00081283" w:rsidRDefault="00081283" w:rsidP="00A62E63">
            <w:pPr>
              <w:pStyle w:val="TableRowCentered"/>
              <w:jc w:val="left"/>
              <w:rPr>
                <w:sz w:val="22"/>
                <w:szCs w:val="22"/>
              </w:rPr>
            </w:pPr>
          </w:p>
          <w:p w14:paraId="15B3B8C7" w14:textId="3028A652" w:rsidR="00825989" w:rsidRPr="00825989" w:rsidRDefault="00825989" w:rsidP="00A62E63">
            <w:pPr>
              <w:pStyle w:val="TableRowCentered"/>
              <w:jc w:val="left"/>
              <w:rPr>
                <w:sz w:val="22"/>
                <w:szCs w:val="22"/>
                <w:u w:val="single"/>
              </w:rPr>
            </w:pPr>
            <w:r w:rsidRPr="00825989">
              <w:rPr>
                <w:sz w:val="22"/>
                <w:szCs w:val="22"/>
                <w:u w:val="single"/>
              </w:rPr>
              <w:t>Reception</w:t>
            </w:r>
          </w:p>
          <w:p w14:paraId="64B892FE" w14:textId="1262B09B" w:rsidR="00081283" w:rsidRDefault="00081283" w:rsidP="00A62E63">
            <w:pPr>
              <w:pStyle w:val="TableRowCentered"/>
              <w:jc w:val="left"/>
            </w:pPr>
            <w:r>
              <w:rPr>
                <w:rFonts w:cs="Arial"/>
                <w:color w:val="auto"/>
              </w:rPr>
              <w:t>2</w:t>
            </w:r>
            <w:r w:rsidR="00825989">
              <w:rPr>
                <w:rFonts w:cs="Arial"/>
                <w:color w:val="auto"/>
              </w:rPr>
              <w:t>3</w:t>
            </w:r>
            <w:r>
              <w:rPr>
                <w:rFonts w:cs="Arial"/>
                <w:color w:val="auto"/>
              </w:rPr>
              <w:t xml:space="preserve"> children attended </w:t>
            </w:r>
            <w:r w:rsidR="00825989">
              <w:rPr>
                <w:rFonts w:cs="Arial"/>
                <w:color w:val="auto"/>
              </w:rPr>
              <w:t>Reception</w:t>
            </w:r>
            <w:r>
              <w:rPr>
                <w:rFonts w:cs="Arial"/>
                <w:color w:val="auto"/>
              </w:rPr>
              <w:t xml:space="preserve"> </w:t>
            </w:r>
            <w:r w:rsidR="00825989">
              <w:rPr>
                <w:rFonts w:cs="Arial"/>
                <w:color w:val="auto"/>
              </w:rPr>
              <w:t>RWI 1:1 interventions across the academic year.</w:t>
            </w:r>
            <w:r>
              <w:rPr>
                <w:rFonts w:cs="Arial"/>
                <w:color w:val="auto"/>
              </w:rPr>
              <w:t xml:space="preserve"> </w:t>
            </w:r>
            <w:r w:rsidRPr="00C13F8C">
              <w:rPr>
                <w:rFonts w:cs="Arial"/>
                <w:color w:val="auto"/>
              </w:rPr>
              <w:t xml:space="preserve">The intervention was delivered </w:t>
            </w:r>
            <w:r w:rsidR="00825989">
              <w:rPr>
                <w:rFonts w:cs="Arial"/>
                <w:color w:val="auto"/>
              </w:rPr>
              <w:t>daily and for each child lasted 20</w:t>
            </w:r>
            <w:r w:rsidRPr="00C13F8C">
              <w:rPr>
                <w:rFonts w:cs="Arial"/>
                <w:color w:val="auto"/>
              </w:rPr>
              <w:t xml:space="preserve"> minutes per </w:t>
            </w:r>
            <w:r w:rsidR="00825989">
              <w:rPr>
                <w:rFonts w:cs="Arial"/>
                <w:color w:val="auto"/>
              </w:rPr>
              <w:t>day</w:t>
            </w:r>
            <w:r w:rsidRPr="00C13F8C">
              <w:rPr>
                <w:rFonts w:cs="Arial"/>
                <w:color w:val="auto"/>
              </w:rPr>
              <w:t xml:space="preserve">. </w:t>
            </w:r>
            <w:r w:rsidR="00825989">
              <w:rPr>
                <w:rFonts w:cs="Arial"/>
                <w:color w:val="auto"/>
              </w:rPr>
              <w:t xml:space="preserve">Please note that “On entry” 20 children required intervention but due to the positive impact of the intervention this was reduced in “Summer 2” to 12 children. </w:t>
            </w:r>
            <w:r w:rsidRPr="00C13F8C">
              <w:rPr>
                <w:rFonts w:cs="Arial"/>
                <w:color w:val="auto"/>
              </w:rPr>
              <w:t>The progress made by the children was as follows:</w:t>
            </w:r>
            <w:r>
              <w:t xml:space="preserve"> </w:t>
            </w:r>
          </w:p>
          <w:p w14:paraId="6C692AAA" w14:textId="77777777" w:rsidR="00825989" w:rsidRDefault="00825989" w:rsidP="00A62E63">
            <w:pPr>
              <w:pStyle w:val="TableRowCentered"/>
              <w:jc w:val="left"/>
            </w:pPr>
          </w:p>
          <w:p w14:paraId="2E6D7A61" w14:textId="77777777" w:rsidR="00825989" w:rsidRPr="00825989" w:rsidRDefault="00825989" w:rsidP="00825989">
            <w:pPr>
              <w:pStyle w:val="TableRowCentered"/>
              <w:jc w:val="left"/>
              <w:rPr>
                <w:rFonts w:cs="Arial"/>
                <w:color w:val="auto"/>
              </w:rPr>
            </w:pPr>
            <w:r w:rsidRPr="00825989">
              <w:rPr>
                <w:rFonts w:cs="Arial"/>
                <w:color w:val="auto"/>
              </w:rPr>
              <w:t>On entry (children should be on band A at this point)</w:t>
            </w:r>
          </w:p>
          <w:p w14:paraId="38FCB72D" w14:textId="77777777" w:rsidR="00825989" w:rsidRPr="00825989" w:rsidRDefault="00825989" w:rsidP="00825989">
            <w:pPr>
              <w:pStyle w:val="TableRowCentered"/>
              <w:jc w:val="left"/>
              <w:rPr>
                <w:rFonts w:cs="Arial"/>
                <w:color w:val="auto"/>
              </w:rPr>
            </w:pPr>
            <w:r w:rsidRPr="00825989">
              <w:rPr>
                <w:rFonts w:cs="Arial"/>
                <w:color w:val="auto"/>
              </w:rPr>
              <w:t>On entry (total of 20 children):  48 sounds / 20 children =  2.4 sounds / child</w:t>
            </w:r>
          </w:p>
          <w:p w14:paraId="2E43D47D" w14:textId="72FC340D" w:rsidR="00825989" w:rsidRDefault="00825989" w:rsidP="00825989">
            <w:pPr>
              <w:pStyle w:val="TableRowCentered"/>
              <w:ind w:left="0"/>
              <w:jc w:val="left"/>
              <w:rPr>
                <w:rFonts w:cs="Arial"/>
                <w:color w:val="auto"/>
              </w:rPr>
            </w:pPr>
            <w:r w:rsidRPr="00825989">
              <w:rPr>
                <w:rFonts w:cs="Arial"/>
                <w:color w:val="auto"/>
              </w:rPr>
              <w:t xml:space="preserve">On entry (total of 20 children): 20 RWI linked to alphabetical group / 20 children = RWI set 1 (Band A) </w:t>
            </w:r>
          </w:p>
          <w:p w14:paraId="0B2AF88C" w14:textId="0A8DD420" w:rsidR="00825989" w:rsidRDefault="00825989" w:rsidP="00825989">
            <w:pPr>
              <w:pStyle w:val="TableRowCentered"/>
              <w:ind w:left="0"/>
              <w:jc w:val="left"/>
              <w:rPr>
                <w:rFonts w:cs="Arial"/>
                <w:color w:val="auto"/>
              </w:rPr>
            </w:pPr>
          </w:p>
          <w:p w14:paraId="656E74E6" w14:textId="77777777" w:rsidR="00825989" w:rsidRPr="00825989" w:rsidRDefault="00825989" w:rsidP="00825989">
            <w:pPr>
              <w:pStyle w:val="TableRowCentered"/>
              <w:jc w:val="left"/>
              <w:rPr>
                <w:rFonts w:cs="Arial"/>
                <w:color w:val="auto"/>
              </w:rPr>
            </w:pPr>
            <w:r w:rsidRPr="00825989">
              <w:rPr>
                <w:rFonts w:cs="Arial"/>
                <w:color w:val="auto"/>
              </w:rPr>
              <w:t>Summer 2 (children should be on band F at point)</w:t>
            </w:r>
          </w:p>
          <w:p w14:paraId="59878ABF" w14:textId="77777777" w:rsidR="00825989" w:rsidRPr="00825989" w:rsidRDefault="00825989" w:rsidP="00825989">
            <w:pPr>
              <w:pStyle w:val="TableRowCentered"/>
              <w:jc w:val="left"/>
              <w:rPr>
                <w:rFonts w:cs="Arial"/>
                <w:color w:val="auto"/>
              </w:rPr>
            </w:pPr>
            <w:r w:rsidRPr="00825989">
              <w:rPr>
                <w:rFonts w:cs="Arial"/>
                <w:color w:val="auto"/>
              </w:rPr>
              <w:t>Summer 2 (total of 12 children):  410 sounds / 12 children =  34.1 sounds / child</w:t>
            </w:r>
          </w:p>
          <w:p w14:paraId="7E0F8B1D" w14:textId="0FB432EF" w:rsidR="00825989" w:rsidRDefault="00825989" w:rsidP="00825989">
            <w:pPr>
              <w:pStyle w:val="TableRowCentered"/>
              <w:ind w:left="0"/>
              <w:jc w:val="left"/>
              <w:rPr>
                <w:rFonts w:cs="Arial"/>
                <w:color w:val="auto"/>
              </w:rPr>
            </w:pPr>
            <w:r w:rsidRPr="00825989">
              <w:rPr>
                <w:rFonts w:cs="Arial"/>
                <w:color w:val="auto"/>
              </w:rPr>
              <w:t xml:space="preserve">Summer 2 (total of 12 children): 53 RWI linked to alphabetical group / 12 children = RWI set 4.4 (Band D) </w:t>
            </w:r>
          </w:p>
          <w:p w14:paraId="6A6105CE" w14:textId="27289045" w:rsidR="00825989" w:rsidRDefault="00825989" w:rsidP="00825989">
            <w:pPr>
              <w:pStyle w:val="TableRowCentered"/>
              <w:ind w:left="0"/>
              <w:jc w:val="left"/>
              <w:rPr>
                <w:rFonts w:cs="Arial"/>
                <w:color w:val="auto"/>
              </w:rPr>
            </w:pPr>
          </w:p>
          <w:p w14:paraId="0394C517" w14:textId="21E4341E" w:rsidR="00825989" w:rsidRPr="00825989" w:rsidRDefault="00825989" w:rsidP="00825989">
            <w:pPr>
              <w:pStyle w:val="TableRowCentered"/>
              <w:jc w:val="left"/>
              <w:rPr>
                <w:sz w:val="22"/>
                <w:szCs w:val="22"/>
                <w:u w:val="single"/>
              </w:rPr>
            </w:pPr>
            <w:r>
              <w:rPr>
                <w:sz w:val="22"/>
                <w:szCs w:val="22"/>
                <w:u w:val="single"/>
              </w:rPr>
              <w:t>Year 1</w:t>
            </w:r>
          </w:p>
          <w:p w14:paraId="7D59A5D2" w14:textId="22F93441" w:rsidR="00825989" w:rsidRDefault="00962FC4" w:rsidP="00825989">
            <w:pPr>
              <w:pStyle w:val="TableRowCentered"/>
              <w:jc w:val="left"/>
            </w:pPr>
            <w:r>
              <w:rPr>
                <w:rFonts w:cs="Arial"/>
                <w:color w:val="auto"/>
              </w:rPr>
              <w:t>17</w:t>
            </w:r>
            <w:r w:rsidR="00825989">
              <w:rPr>
                <w:rFonts w:cs="Arial"/>
                <w:color w:val="auto"/>
              </w:rPr>
              <w:t xml:space="preserve"> children attended </w:t>
            </w:r>
            <w:r w:rsidR="00923840">
              <w:rPr>
                <w:rFonts w:cs="Arial"/>
                <w:color w:val="auto"/>
              </w:rPr>
              <w:t>Year 1</w:t>
            </w:r>
            <w:r w:rsidR="00825989">
              <w:rPr>
                <w:rFonts w:cs="Arial"/>
                <w:color w:val="auto"/>
              </w:rPr>
              <w:t xml:space="preserve"> RWI 1:1 interventions across the academic year. </w:t>
            </w:r>
            <w:r w:rsidR="00825989" w:rsidRPr="00C13F8C">
              <w:rPr>
                <w:rFonts w:cs="Arial"/>
                <w:color w:val="auto"/>
              </w:rPr>
              <w:t xml:space="preserve">The intervention was delivered </w:t>
            </w:r>
            <w:r w:rsidR="00825989">
              <w:rPr>
                <w:rFonts w:cs="Arial"/>
                <w:color w:val="auto"/>
              </w:rPr>
              <w:t>daily and for each child lasted 20</w:t>
            </w:r>
            <w:r w:rsidR="00825989" w:rsidRPr="00C13F8C">
              <w:rPr>
                <w:rFonts w:cs="Arial"/>
                <w:color w:val="auto"/>
              </w:rPr>
              <w:t xml:space="preserve"> minutes per </w:t>
            </w:r>
            <w:r w:rsidR="00825989">
              <w:rPr>
                <w:rFonts w:cs="Arial"/>
                <w:color w:val="auto"/>
              </w:rPr>
              <w:t>day</w:t>
            </w:r>
            <w:r w:rsidR="00825989" w:rsidRPr="00C13F8C">
              <w:rPr>
                <w:rFonts w:cs="Arial"/>
                <w:color w:val="auto"/>
              </w:rPr>
              <w:t xml:space="preserve">. </w:t>
            </w:r>
            <w:r w:rsidR="00825989">
              <w:rPr>
                <w:rFonts w:cs="Arial"/>
                <w:color w:val="auto"/>
              </w:rPr>
              <w:t xml:space="preserve">Please note that “On entry” </w:t>
            </w:r>
            <w:r>
              <w:rPr>
                <w:rFonts w:cs="Arial"/>
                <w:color w:val="auto"/>
              </w:rPr>
              <w:t>14</w:t>
            </w:r>
            <w:r w:rsidR="00825989">
              <w:rPr>
                <w:rFonts w:cs="Arial"/>
                <w:color w:val="auto"/>
              </w:rPr>
              <w:t xml:space="preserve"> children required intervention but due to the positive impact of the intervention this was reduced in “Summer 2” to </w:t>
            </w:r>
            <w:r>
              <w:rPr>
                <w:rFonts w:cs="Arial"/>
                <w:color w:val="auto"/>
              </w:rPr>
              <w:t>9</w:t>
            </w:r>
            <w:r w:rsidR="00825989">
              <w:rPr>
                <w:rFonts w:cs="Arial"/>
                <w:color w:val="auto"/>
              </w:rPr>
              <w:t xml:space="preserve"> children. </w:t>
            </w:r>
            <w:r w:rsidR="00825989" w:rsidRPr="00C13F8C">
              <w:rPr>
                <w:rFonts w:cs="Arial"/>
                <w:color w:val="auto"/>
              </w:rPr>
              <w:t>The progress made by the children was as follows:</w:t>
            </w:r>
            <w:r w:rsidR="00825989">
              <w:t xml:space="preserve"> </w:t>
            </w:r>
          </w:p>
          <w:p w14:paraId="733B5868" w14:textId="77777777" w:rsidR="00825989" w:rsidRDefault="00825989" w:rsidP="00825989">
            <w:pPr>
              <w:pStyle w:val="TableRowCentered"/>
              <w:jc w:val="left"/>
            </w:pPr>
          </w:p>
          <w:p w14:paraId="109359AE" w14:textId="77777777" w:rsidR="00962FC4" w:rsidRPr="00962FC4" w:rsidRDefault="00962FC4" w:rsidP="00962FC4">
            <w:pPr>
              <w:pStyle w:val="TableRowCentered"/>
              <w:jc w:val="left"/>
              <w:rPr>
                <w:rFonts w:cs="Arial"/>
                <w:color w:val="auto"/>
              </w:rPr>
            </w:pPr>
            <w:r w:rsidRPr="00962FC4">
              <w:rPr>
                <w:rFonts w:cs="Arial"/>
                <w:color w:val="auto"/>
              </w:rPr>
              <w:t>On entry (children should be on band F at this point)</w:t>
            </w:r>
          </w:p>
          <w:p w14:paraId="7FE42B1E" w14:textId="7D586F89" w:rsidR="00962FC4" w:rsidRPr="00962FC4" w:rsidRDefault="00962FC4" w:rsidP="00962FC4">
            <w:pPr>
              <w:pStyle w:val="TableRowCentered"/>
              <w:jc w:val="left"/>
              <w:rPr>
                <w:rFonts w:cs="Arial"/>
                <w:color w:val="auto"/>
              </w:rPr>
            </w:pPr>
            <w:r w:rsidRPr="00962FC4">
              <w:rPr>
                <w:rFonts w:cs="Arial"/>
                <w:color w:val="auto"/>
              </w:rPr>
              <w:t>On entry (total of 14 children):  422 sounds / 14 children =  30.1sounds / child</w:t>
            </w:r>
          </w:p>
          <w:p w14:paraId="645A0A87" w14:textId="11B86FC8" w:rsidR="00825989" w:rsidRDefault="00962FC4" w:rsidP="00962FC4">
            <w:pPr>
              <w:pStyle w:val="TableRowCentered"/>
              <w:ind w:left="0"/>
              <w:jc w:val="left"/>
              <w:rPr>
                <w:rFonts w:cs="Arial"/>
                <w:color w:val="auto"/>
              </w:rPr>
            </w:pPr>
            <w:r w:rsidRPr="00962FC4">
              <w:rPr>
                <w:rFonts w:cs="Arial"/>
                <w:color w:val="auto"/>
              </w:rPr>
              <w:t xml:space="preserve">On entry (total of 14 children): 64 RWI linked to alphabetical group / 14 children = RWI set 4.5 (Band D) </w:t>
            </w:r>
          </w:p>
          <w:p w14:paraId="1E4E167F" w14:textId="77777777" w:rsidR="00962FC4" w:rsidRDefault="00962FC4" w:rsidP="00962FC4">
            <w:pPr>
              <w:pStyle w:val="TableRowCentered"/>
              <w:ind w:left="0"/>
              <w:jc w:val="left"/>
              <w:rPr>
                <w:rFonts w:cs="Arial"/>
                <w:color w:val="auto"/>
              </w:rPr>
            </w:pPr>
          </w:p>
          <w:p w14:paraId="7D764EE1" w14:textId="77777777" w:rsidR="00962FC4" w:rsidRPr="00962FC4" w:rsidRDefault="00962FC4" w:rsidP="00962FC4">
            <w:pPr>
              <w:pStyle w:val="TableRowCentered"/>
              <w:jc w:val="left"/>
              <w:rPr>
                <w:rFonts w:cs="Arial"/>
                <w:color w:val="auto"/>
              </w:rPr>
            </w:pPr>
            <w:r w:rsidRPr="00962FC4">
              <w:rPr>
                <w:rFonts w:cs="Arial"/>
                <w:color w:val="auto"/>
              </w:rPr>
              <w:t>Summer 2 (children should be on band J at point)</w:t>
            </w:r>
          </w:p>
          <w:p w14:paraId="3EBD12F6" w14:textId="77777777" w:rsidR="00962FC4" w:rsidRPr="00962FC4" w:rsidRDefault="00962FC4" w:rsidP="00962FC4">
            <w:pPr>
              <w:pStyle w:val="TableRowCentered"/>
              <w:jc w:val="left"/>
              <w:rPr>
                <w:rFonts w:cs="Arial"/>
                <w:color w:val="auto"/>
              </w:rPr>
            </w:pPr>
            <w:r w:rsidRPr="00962FC4">
              <w:rPr>
                <w:rFonts w:cs="Arial"/>
                <w:color w:val="auto"/>
              </w:rPr>
              <w:t>Summer 2 (total of 9 children):  361 sounds / 9 children =  40 sounds / child</w:t>
            </w:r>
          </w:p>
          <w:p w14:paraId="5A337823" w14:textId="3DAE0D73" w:rsidR="00825989" w:rsidRDefault="00962FC4" w:rsidP="00962FC4">
            <w:pPr>
              <w:pStyle w:val="TableRowCentered"/>
              <w:ind w:left="0"/>
              <w:jc w:val="left"/>
              <w:rPr>
                <w:rFonts w:cs="Arial"/>
                <w:color w:val="auto"/>
              </w:rPr>
            </w:pPr>
            <w:r w:rsidRPr="00962FC4">
              <w:rPr>
                <w:rFonts w:cs="Arial"/>
                <w:color w:val="auto"/>
              </w:rPr>
              <w:t xml:space="preserve">Summer 2 (total of 9 children): 54 RWI linked to alphabetical group / 9 children = RWI set 6 (Band F) </w:t>
            </w:r>
          </w:p>
          <w:p w14:paraId="35DDDBAB" w14:textId="4E717AE4" w:rsidR="00825989" w:rsidRDefault="00825989" w:rsidP="00A62E63">
            <w:pPr>
              <w:pStyle w:val="TableRowCentered"/>
              <w:ind w:left="0"/>
              <w:jc w:val="left"/>
              <w:rPr>
                <w:rFonts w:cs="Arial"/>
                <w:color w:val="auto"/>
              </w:rPr>
            </w:pPr>
          </w:p>
          <w:p w14:paraId="30B2ED08" w14:textId="048F1CEB" w:rsidR="00962FC4" w:rsidRPr="00825989" w:rsidRDefault="00962FC4" w:rsidP="00962FC4">
            <w:pPr>
              <w:pStyle w:val="TableRowCentered"/>
              <w:jc w:val="left"/>
              <w:rPr>
                <w:sz w:val="22"/>
                <w:szCs w:val="22"/>
                <w:u w:val="single"/>
              </w:rPr>
            </w:pPr>
            <w:r>
              <w:rPr>
                <w:sz w:val="22"/>
                <w:szCs w:val="22"/>
                <w:u w:val="single"/>
              </w:rPr>
              <w:t>Year 2</w:t>
            </w:r>
          </w:p>
          <w:p w14:paraId="5B3C0886" w14:textId="601CD3FF" w:rsidR="00962FC4" w:rsidRDefault="00962FC4" w:rsidP="00962FC4">
            <w:pPr>
              <w:pStyle w:val="TableRowCentered"/>
              <w:jc w:val="left"/>
            </w:pPr>
            <w:r>
              <w:rPr>
                <w:rFonts w:cs="Arial"/>
                <w:color w:val="auto"/>
              </w:rPr>
              <w:t xml:space="preserve">16 children attended </w:t>
            </w:r>
            <w:r w:rsidR="00923840">
              <w:rPr>
                <w:rFonts w:cs="Arial"/>
                <w:color w:val="auto"/>
              </w:rPr>
              <w:t>Year 2</w:t>
            </w:r>
            <w:r>
              <w:rPr>
                <w:rFonts w:cs="Arial"/>
                <w:color w:val="auto"/>
              </w:rPr>
              <w:t xml:space="preserve"> RWI 1:1 interventions across the academic year. </w:t>
            </w:r>
            <w:r w:rsidRPr="00C13F8C">
              <w:rPr>
                <w:rFonts w:cs="Arial"/>
                <w:color w:val="auto"/>
              </w:rPr>
              <w:t xml:space="preserve">The intervention was delivered </w:t>
            </w:r>
            <w:r>
              <w:rPr>
                <w:rFonts w:cs="Arial"/>
                <w:color w:val="auto"/>
              </w:rPr>
              <w:t>daily and for each child lasted 20</w:t>
            </w:r>
            <w:r w:rsidRPr="00C13F8C">
              <w:rPr>
                <w:rFonts w:cs="Arial"/>
                <w:color w:val="auto"/>
              </w:rPr>
              <w:t xml:space="preserve"> minutes per </w:t>
            </w:r>
            <w:r>
              <w:rPr>
                <w:rFonts w:cs="Arial"/>
                <w:color w:val="auto"/>
              </w:rPr>
              <w:t>day</w:t>
            </w:r>
            <w:r w:rsidRPr="00C13F8C">
              <w:rPr>
                <w:rFonts w:cs="Arial"/>
                <w:color w:val="auto"/>
              </w:rPr>
              <w:t xml:space="preserve">. </w:t>
            </w:r>
            <w:r>
              <w:rPr>
                <w:rFonts w:cs="Arial"/>
                <w:color w:val="auto"/>
              </w:rPr>
              <w:t xml:space="preserve">Please note that “On entry” 10 children required intervention but due to the positive impact of the intervention this was reduced in “Summer 2” to 6 children. </w:t>
            </w:r>
            <w:r w:rsidRPr="00C13F8C">
              <w:rPr>
                <w:rFonts w:cs="Arial"/>
                <w:color w:val="auto"/>
              </w:rPr>
              <w:t>The progress made by the children was as follows:</w:t>
            </w:r>
            <w:r>
              <w:t xml:space="preserve"> </w:t>
            </w:r>
          </w:p>
          <w:p w14:paraId="291FD47F" w14:textId="77777777" w:rsidR="00962FC4" w:rsidRDefault="00962FC4" w:rsidP="00962FC4">
            <w:pPr>
              <w:pStyle w:val="TableRowCentered"/>
              <w:jc w:val="left"/>
            </w:pPr>
          </w:p>
          <w:p w14:paraId="41782FDB" w14:textId="77777777" w:rsidR="00962FC4" w:rsidRPr="00962FC4" w:rsidRDefault="00962FC4" w:rsidP="00962FC4">
            <w:pPr>
              <w:pStyle w:val="TableRowCentered"/>
              <w:jc w:val="left"/>
              <w:rPr>
                <w:rFonts w:cs="Arial"/>
                <w:color w:val="auto"/>
              </w:rPr>
            </w:pPr>
            <w:r w:rsidRPr="00962FC4">
              <w:rPr>
                <w:rFonts w:cs="Arial"/>
                <w:color w:val="auto"/>
              </w:rPr>
              <w:t>On entry (children should be on band K at this point)</w:t>
            </w:r>
          </w:p>
          <w:p w14:paraId="3AD0AEBD" w14:textId="77777777" w:rsidR="00962FC4" w:rsidRPr="00962FC4" w:rsidRDefault="00962FC4" w:rsidP="00962FC4">
            <w:pPr>
              <w:pStyle w:val="TableRowCentered"/>
              <w:jc w:val="left"/>
              <w:rPr>
                <w:rFonts w:cs="Arial"/>
                <w:color w:val="auto"/>
              </w:rPr>
            </w:pPr>
            <w:r w:rsidRPr="00962FC4">
              <w:rPr>
                <w:rFonts w:cs="Arial"/>
                <w:color w:val="auto"/>
              </w:rPr>
              <w:t>On entry (total of 10 children):  347 sounds / 10 child = 34.7 sounds / child</w:t>
            </w:r>
          </w:p>
          <w:p w14:paraId="5ACB3D51" w14:textId="39CCDEA6" w:rsidR="00962FC4" w:rsidRDefault="00962FC4" w:rsidP="00962FC4">
            <w:pPr>
              <w:pStyle w:val="TableRowCentered"/>
              <w:ind w:left="0"/>
              <w:jc w:val="left"/>
              <w:rPr>
                <w:rFonts w:cs="Arial"/>
                <w:color w:val="auto"/>
              </w:rPr>
            </w:pPr>
            <w:r w:rsidRPr="00962FC4">
              <w:rPr>
                <w:rFonts w:cs="Arial"/>
                <w:color w:val="auto"/>
              </w:rPr>
              <w:t xml:space="preserve">On entry (total of 10 children): 55 RWI linked to alphabetical group / 10 children = RWI set 5.5 (Band E) </w:t>
            </w:r>
          </w:p>
          <w:p w14:paraId="15C52938" w14:textId="77777777" w:rsidR="00962FC4" w:rsidRDefault="00962FC4" w:rsidP="00962FC4">
            <w:pPr>
              <w:pStyle w:val="TableRowCentered"/>
              <w:ind w:left="0"/>
              <w:jc w:val="left"/>
              <w:rPr>
                <w:rFonts w:cs="Arial"/>
                <w:color w:val="auto"/>
              </w:rPr>
            </w:pPr>
          </w:p>
          <w:p w14:paraId="52DAF08E" w14:textId="77777777" w:rsidR="00962FC4" w:rsidRPr="00962FC4" w:rsidRDefault="00962FC4" w:rsidP="00962FC4">
            <w:pPr>
              <w:pStyle w:val="TableRowCentered"/>
              <w:jc w:val="left"/>
              <w:rPr>
                <w:rFonts w:cs="Arial"/>
                <w:color w:val="auto"/>
              </w:rPr>
            </w:pPr>
            <w:r w:rsidRPr="00962FC4">
              <w:rPr>
                <w:rFonts w:cs="Arial"/>
                <w:color w:val="auto"/>
              </w:rPr>
              <w:t>Summer 2 (children should be on band O at point)</w:t>
            </w:r>
          </w:p>
          <w:p w14:paraId="344B6189" w14:textId="77777777" w:rsidR="00962FC4" w:rsidRPr="00962FC4" w:rsidRDefault="00962FC4" w:rsidP="00962FC4">
            <w:pPr>
              <w:pStyle w:val="TableRowCentered"/>
              <w:jc w:val="left"/>
              <w:rPr>
                <w:rFonts w:cs="Arial"/>
                <w:color w:val="auto"/>
              </w:rPr>
            </w:pPr>
            <w:r w:rsidRPr="00962FC4">
              <w:rPr>
                <w:rFonts w:cs="Arial"/>
                <w:color w:val="auto"/>
              </w:rPr>
              <w:t>Summer 2 (total of 6 children):  248 sounds / 6 children =  41.3 sounds / child</w:t>
            </w:r>
          </w:p>
          <w:p w14:paraId="7F6F5667" w14:textId="123AECA1" w:rsidR="00081283" w:rsidRPr="00A46E9F" w:rsidRDefault="00962FC4" w:rsidP="00825989">
            <w:pPr>
              <w:pStyle w:val="TableRowCentered"/>
              <w:ind w:left="0"/>
              <w:jc w:val="left"/>
              <w:rPr>
                <w:rFonts w:cs="Arial"/>
                <w:color w:val="auto"/>
              </w:rPr>
            </w:pPr>
            <w:r w:rsidRPr="00962FC4">
              <w:rPr>
                <w:rFonts w:cs="Arial"/>
                <w:color w:val="auto"/>
              </w:rPr>
              <w:t xml:space="preserve">Summer 2 (total of 6 children): 35 RWI linked to alphabetical group / 6 children = RWI set 5.8 (Band E) </w:t>
            </w:r>
          </w:p>
        </w:tc>
      </w:tr>
      <w:tr w:rsidR="00081283" w:rsidRPr="00E27862" w14:paraId="723F61A3" w14:textId="77777777" w:rsidTr="00A62E63">
        <w:tc>
          <w:tcPr>
            <w:tcW w:w="73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CDA1B0" w14:textId="77777777" w:rsidR="00081283" w:rsidRPr="00E27862" w:rsidRDefault="00081283" w:rsidP="00A62E63">
            <w:pPr>
              <w:pStyle w:val="TableRow"/>
              <w:rPr>
                <w:rFonts w:cs="Arial"/>
                <w:color w:val="auto"/>
              </w:rPr>
            </w:pPr>
            <w:r w:rsidRPr="00E27862">
              <w:rPr>
                <w:rFonts w:cs="Arial"/>
                <w:color w:val="auto"/>
              </w:rPr>
              <w:t xml:space="preserve">Improved reading attainment among disadvantaged pupils. </w:t>
            </w:r>
          </w:p>
        </w:tc>
        <w:tc>
          <w:tcPr>
            <w:tcW w:w="71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9DCE1E" w14:textId="75311332" w:rsidR="00D5200E" w:rsidRPr="00760E1C" w:rsidRDefault="00D5200E" w:rsidP="00D5200E">
            <w:pPr>
              <w:rPr>
                <w:b/>
              </w:rPr>
            </w:pPr>
            <w:r w:rsidRPr="00760E1C">
              <w:rPr>
                <w:b/>
              </w:rPr>
              <w:t xml:space="preserve">Reading </w:t>
            </w:r>
          </w:p>
          <w:tbl>
            <w:tblPr>
              <w:tblStyle w:val="TableGrid"/>
              <w:tblW w:w="7371" w:type="dxa"/>
              <w:tblLook w:val="04A0" w:firstRow="1" w:lastRow="0" w:firstColumn="1" w:lastColumn="0" w:noHBand="0" w:noVBand="1"/>
            </w:tblPr>
            <w:tblGrid>
              <w:gridCol w:w="3514"/>
              <w:gridCol w:w="846"/>
              <w:gridCol w:w="1097"/>
              <w:gridCol w:w="817"/>
              <w:gridCol w:w="1097"/>
            </w:tblGrid>
            <w:tr w:rsidR="00D5200E" w:rsidRPr="00760E1C" w14:paraId="6FAE2DCA" w14:textId="77777777" w:rsidTr="00D5200E">
              <w:tc>
                <w:tcPr>
                  <w:tcW w:w="3514" w:type="dxa"/>
                </w:tcPr>
                <w:p w14:paraId="15F94C7D" w14:textId="77777777" w:rsidR="00D5200E" w:rsidRPr="00760E1C" w:rsidRDefault="00D5200E" w:rsidP="00D5200E">
                  <w:pPr>
                    <w:jc w:val="center"/>
                    <w:rPr>
                      <w:sz w:val="28"/>
                      <w:szCs w:val="28"/>
                    </w:rPr>
                  </w:pPr>
                </w:p>
              </w:tc>
              <w:tc>
                <w:tcPr>
                  <w:tcW w:w="1943" w:type="dxa"/>
                  <w:gridSpan w:val="2"/>
                </w:tcPr>
                <w:p w14:paraId="17F806FE" w14:textId="77777777" w:rsidR="00D5200E" w:rsidRPr="00760E1C" w:rsidRDefault="00D5200E" w:rsidP="00D5200E">
                  <w:pPr>
                    <w:jc w:val="center"/>
                    <w:rPr>
                      <w:sz w:val="28"/>
                      <w:szCs w:val="28"/>
                    </w:rPr>
                  </w:pPr>
                  <w:r w:rsidRPr="00760E1C">
                    <w:rPr>
                      <w:sz w:val="28"/>
                      <w:szCs w:val="28"/>
                    </w:rPr>
                    <w:t>Expected standard</w:t>
                  </w:r>
                </w:p>
              </w:tc>
              <w:tc>
                <w:tcPr>
                  <w:tcW w:w="1914" w:type="dxa"/>
                  <w:gridSpan w:val="2"/>
                </w:tcPr>
                <w:p w14:paraId="2130FEDD" w14:textId="77777777" w:rsidR="00D5200E" w:rsidRPr="00760E1C" w:rsidRDefault="00D5200E" w:rsidP="00D5200E">
                  <w:pPr>
                    <w:jc w:val="center"/>
                    <w:rPr>
                      <w:sz w:val="28"/>
                      <w:szCs w:val="28"/>
                    </w:rPr>
                  </w:pPr>
                  <w:r w:rsidRPr="00760E1C">
                    <w:rPr>
                      <w:sz w:val="28"/>
                      <w:szCs w:val="28"/>
                    </w:rPr>
                    <w:t>Greater depth</w:t>
                  </w:r>
                </w:p>
              </w:tc>
            </w:tr>
            <w:tr w:rsidR="00D5200E" w:rsidRPr="00760E1C" w14:paraId="1D4577B4" w14:textId="77777777" w:rsidTr="00D5200E">
              <w:tc>
                <w:tcPr>
                  <w:tcW w:w="3514" w:type="dxa"/>
                </w:tcPr>
                <w:p w14:paraId="081F7F7E" w14:textId="77777777" w:rsidR="00D5200E" w:rsidRPr="00760E1C" w:rsidRDefault="00D5200E" w:rsidP="00D5200E">
                  <w:pPr>
                    <w:rPr>
                      <w:sz w:val="28"/>
                      <w:szCs w:val="28"/>
                    </w:rPr>
                  </w:pPr>
                </w:p>
              </w:tc>
              <w:tc>
                <w:tcPr>
                  <w:tcW w:w="846" w:type="dxa"/>
                </w:tcPr>
                <w:p w14:paraId="4D314117" w14:textId="77777777" w:rsidR="00D5200E" w:rsidRDefault="00D5200E" w:rsidP="00D5200E">
                  <w:r w:rsidRPr="00760E1C">
                    <w:t>Royd</w:t>
                  </w:r>
                </w:p>
                <w:p w14:paraId="3B6AC7D6" w14:textId="33283FFA" w:rsidR="00D5200E" w:rsidRPr="00760E1C" w:rsidRDefault="00D5200E" w:rsidP="00D5200E">
                  <w:r>
                    <w:t>23/24</w:t>
                  </w:r>
                </w:p>
              </w:tc>
              <w:tc>
                <w:tcPr>
                  <w:tcW w:w="1097" w:type="dxa"/>
                </w:tcPr>
                <w:p w14:paraId="3C755509" w14:textId="77777777" w:rsidR="00D5200E" w:rsidRDefault="00D5200E" w:rsidP="00D5200E">
                  <w:r w:rsidRPr="00760E1C">
                    <w:t>National</w:t>
                  </w:r>
                </w:p>
                <w:p w14:paraId="0A812607" w14:textId="4CE867F2" w:rsidR="00D5200E" w:rsidRPr="00760E1C" w:rsidRDefault="00D5200E" w:rsidP="00D5200E">
                  <w:r>
                    <w:t>22/23</w:t>
                  </w:r>
                </w:p>
              </w:tc>
              <w:tc>
                <w:tcPr>
                  <w:tcW w:w="817" w:type="dxa"/>
                </w:tcPr>
                <w:p w14:paraId="17FAC6CB" w14:textId="77777777" w:rsidR="00D5200E" w:rsidRDefault="00D5200E" w:rsidP="00D5200E">
                  <w:r w:rsidRPr="00760E1C">
                    <w:t>Royd</w:t>
                  </w:r>
                </w:p>
                <w:p w14:paraId="179C8062" w14:textId="62AB76B4" w:rsidR="00D5200E" w:rsidRPr="00760E1C" w:rsidRDefault="00D5200E" w:rsidP="00D5200E">
                  <w:r>
                    <w:t>23/24</w:t>
                  </w:r>
                </w:p>
              </w:tc>
              <w:tc>
                <w:tcPr>
                  <w:tcW w:w="1097" w:type="dxa"/>
                </w:tcPr>
                <w:p w14:paraId="6042846C" w14:textId="77777777" w:rsidR="00D5200E" w:rsidRDefault="00D5200E" w:rsidP="00D5200E">
                  <w:r w:rsidRPr="00760E1C">
                    <w:t>National</w:t>
                  </w:r>
                </w:p>
                <w:p w14:paraId="69F5FF06" w14:textId="798E1BD4" w:rsidR="00D5200E" w:rsidRPr="00760E1C" w:rsidRDefault="00D5200E" w:rsidP="00D5200E">
                  <w:r>
                    <w:t>22/23</w:t>
                  </w:r>
                </w:p>
              </w:tc>
            </w:tr>
            <w:tr w:rsidR="00D5200E" w:rsidRPr="00760E1C" w14:paraId="0805EE85" w14:textId="77777777" w:rsidTr="00D5200E">
              <w:tc>
                <w:tcPr>
                  <w:tcW w:w="3514" w:type="dxa"/>
                </w:tcPr>
                <w:p w14:paraId="0D0DE4CC" w14:textId="2190D470" w:rsidR="00D5200E" w:rsidRPr="00760E1C" w:rsidRDefault="00D5200E" w:rsidP="00D5200E">
                  <w:pPr>
                    <w:rPr>
                      <w:sz w:val="28"/>
                      <w:szCs w:val="28"/>
                    </w:rPr>
                  </w:pPr>
                  <w:r>
                    <w:rPr>
                      <w:sz w:val="28"/>
                      <w:szCs w:val="28"/>
                    </w:rPr>
                    <w:t>Disadvantaged (12 pupils)</w:t>
                  </w:r>
                </w:p>
              </w:tc>
              <w:tc>
                <w:tcPr>
                  <w:tcW w:w="846" w:type="dxa"/>
                </w:tcPr>
                <w:p w14:paraId="690F269F" w14:textId="1CAFA761" w:rsidR="00D5200E" w:rsidRPr="00D5200E" w:rsidRDefault="00D5200E" w:rsidP="00D5200E">
                  <w:pPr>
                    <w:rPr>
                      <w:color w:val="000000" w:themeColor="text1"/>
                      <w:sz w:val="28"/>
                      <w:szCs w:val="28"/>
                    </w:rPr>
                  </w:pPr>
                  <w:r w:rsidRPr="00D5200E">
                    <w:rPr>
                      <w:color w:val="000000" w:themeColor="text1"/>
                      <w:sz w:val="28"/>
                      <w:szCs w:val="28"/>
                    </w:rPr>
                    <w:t>58%</w:t>
                  </w:r>
                </w:p>
              </w:tc>
              <w:tc>
                <w:tcPr>
                  <w:tcW w:w="1097" w:type="dxa"/>
                </w:tcPr>
                <w:p w14:paraId="05498AAA" w14:textId="71F212C3" w:rsidR="00D5200E" w:rsidRPr="00D5200E" w:rsidRDefault="00D5200E" w:rsidP="00D5200E">
                  <w:pPr>
                    <w:rPr>
                      <w:color w:val="000000" w:themeColor="text1"/>
                      <w:sz w:val="28"/>
                      <w:szCs w:val="28"/>
                    </w:rPr>
                  </w:pPr>
                  <w:r w:rsidRPr="00D5200E">
                    <w:rPr>
                      <w:color w:val="000000" w:themeColor="text1"/>
                      <w:sz w:val="28"/>
                      <w:szCs w:val="28"/>
                    </w:rPr>
                    <w:t>54%</w:t>
                  </w:r>
                </w:p>
              </w:tc>
              <w:tc>
                <w:tcPr>
                  <w:tcW w:w="817" w:type="dxa"/>
                </w:tcPr>
                <w:p w14:paraId="71595A9F" w14:textId="69B24B9C" w:rsidR="00D5200E" w:rsidRPr="00D5200E" w:rsidRDefault="00D5200E" w:rsidP="00D5200E">
                  <w:pPr>
                    <w:rPr>
                      <w:color w:val="000000" w:themeColor="text1"/>
                      <w:sz w:val="28"/>
                      <w:szCs w:val="28"/>
                    </w:rPr>
                  </w:pPr>
                  <w:r w:rsidRPr="00D5200E">
                    <w:rPr>
                      <w:color w:val="000000" w:themeColor="text1"/>
                      <w:sz w:val="28"/>
                      <w:szCs w:val="28"/>
                    </w:rPr>
                    <w:t>17%</w:t>
                  </w:r>
                </w:p>
              </w:tc>
              <w:tc>
                <w:tcPr>
                  <w:tcW w:w="1097" w:type="dxa"/>
                </w:tcPr>
                <w:p w14:paraId="0BF66ED1" w14:textId="65685B14" w:rsidR="00D5200E" w:rsidRPr="00D5200E" w:rsidRDefault="00D5200E" w:rsidP="00D5200E">
                  <w:pPr>
                    <w:rPr>
                      <w:color w:val="000000" w:themeColor="text1"/>
                      <w:sz w:val="28"/>
                      <w:szCs w:val="28"/>
                    </w:rPr>
                  </w:pPr>
                  <w:r w:rsidRPr="00D5200E">
                    <w:rPr>
                      <w:color w:val="000000" w:themeColor="text1"/>
                      <w:sz w:val="28"/>
                      <w:szCs w:val="28"/>
                    </w:rPr>
                    <w:t>9%</w:t>
                  </w:r>
                </w:p>
              </w:tc>
            </w:tr>
          </w:tbl>
          <w:p w14:paraId="76BCEC3B" w14:textId="77777777" w:rsidR="00081283" w:rsidRPr="00962FC4" w:rsidRDefault="00081283" w:rsidP="00A62E63">
            <w:pPr>
              <w:pStyle w:val="TableRowCentered"/>
              <w:jc w:val="left"/>
              <w:rPr>
                <w:rFonts w:cs="Arial"/>
                <w:color w:val="FF0000"/>
              </w:rPr>
            </w:pPr>
          </w:p>
          <w:p w14:paraId="4604F94B" w14:textId="77777777" w:rsidR="00923840" w:rsidRDefault="00081283" w:rsidP="00A62E63">
            <w:pPr>
              <w:pStyle w:val="TableRowCentered"/>
              <w:jc w:val="left"/>
              <w:rPr>
                <w:rFonts w:cs="Arial"/>
                <w:color w:val="000000" w:themeColor="text1"/>
              </w:rPr>
            </w:pPr>
            <w:r w:rsidRPr="00923840">
              <w:rPr>
                <w:rFonts w:cs="Arial"/>
                <w:color w:val="000000" w:themeColor="text1"/>
              </w:rPr>
              <w:t>Reading attainment among disadvantaged pupils has in</w:t>
            </w:r>
            <w:r w:rsidR="00923840" w:rsidRPr="00923840">
              <w:rPr>
                <w:rFonts w:cs="Arial"/>
                <w:color w:val="000000" w:themeColor="text1"/>
              </w:rPr>
              <w:t>creased from 37.5% in 2021/22,</w:t>
            </w:r>
            <w:r w:rsidRPr="00923840">
              <w:rPr>
                <w:rFonts w:cs="Arial"/>
                <w:color w:val="000000" w:themeColor="text1"/>
              </w:rPr>
              <w:t xml:space="preserve"> 50% </w:t>
            </w:r>
            <w:r w:rsidR="00923840" w:rsidRPr="00923840">
              <w:rPr>
                <w:rFonts w:cs="Arial"/>
                <w:color w:val="000000" w:themeColor="text1"/>
              </w:rPr>
              <w:t>in 2022/23 and 58% in 2023 / 24.</w:t>
            </w:r>
            <w:r w:rsidRPr="00923840">
              <w:rPr>
                <w:rFonts w:cs="Arial"/>
                <w:color w:val="000000" w:themeColor="text1"/>
              </w:rPr>
              <w:t xml:space="preserve"> Pupil premium funding and recovery premium funding that has enabled interventions such as Lexia and RWI 1:1 have had a strong impact.</w:t>
            </w:r>
          </w:p>
          <w:p w14:paraId="050AF891" w14:textId="62FEAEDD" w:rsidR="00923840" w:rsidRDefault="00923840" w:rsidP="00A62E63">
            <w:pPr>
              <w:pStyle w:val="TableRowCentered"/>
              <w:jc w:val="left"/>
              <w:rPr>
                <w:rFonts w:cs="Arial"/>
                <w:color w:val="000000" w:themeColor="text1"/>
              </w:rPr>
            </w:pPr>
          </w:p>
          <w:p w14:paraId="5F874B7F" w14:textId="0676B8F3" w:rsidR="00923840" w:rsidRPr="00923840" w:rsidRDefault="00923840" w:rsidP="00A62E63">
            <w:pPr>
              <w:pStyle w:val="TableRowCentered"/>
              <w:jc w:val="left"/>
              <w:rPr>
                <w:rFonts w:cs="Arial"/>
                <w:color w:val="000000" w:themeColor="text1"/>
                <w:u w:val="single"/>
              </w:rPr>
            </w:pPr>
            <w:r w:rsidRPr="00923840">
              <w:rPr>
                <w:rFonts w:cs="Arial"/>
                <w:color w:val="000000" w:themeColor="text1"/>
                <w:u w:val="single"/>
              </w:rPr>
              <w:t>RWI 1:1 fluency sessions</w:t>
            </w:r>
          </w:p>
          <w:p w14:paraId="0B2EB0A9" w14:textId="77777777" w:rsidR="00923840" w:rsidRDefault="00923840" w:rsidP="00A62E63">
            <w:pPr>
              <w:pStyle w:val="TableRowCentered"/>
              <w:jc w:val="left"/>
              <w:rPr>
                <w:rFonts w:cs="Arial"/>
                <w:color w:val="000000" w:themeColor="text1"/>
              </w:rPr>
            </w:pPr>
          </w:p>
          <w:p w14:paraId="1DFE6944" w14:textId="4183188F" w:rsidR="00923840" w:rsidRPr="00825989" w:rsidRDefault="00923840" w:rsidP="00923840">
            <w:pPr>
              <w:pStyle w:val="TableRowCentered"/>
              <w:jc w:val="left"/>
              <w:rPr>
                <w:sz w:val="22"/>
                <w:szCs w:val="22"/>
                <w:u w:val="single"/>
              </w:rPr>
            </w:pPr>
            <w:r>
              <w:rPr>
                <w:sz w:val="22"/>
                <w:szCs w:val="22"/>
                <w:u w:val="single"/>
              </w:rPr>
              <w:t>Year 1</w:t>
            </w:r>
          </w:p>
          <w:p w14:paraId="44191F48" w14:textId="0180BB32" w:rsidR="00923840" w:rsidRDefault="00923840" w:rsidP="00923840">
            <w:pPr>
              <w:pStyle w:val="TableRowCentered"/>
              <w:jc w:val="left"/>
            </w:pPr>
            <w:r>
              <w:rPr>
                <w:rFonts w:cs="Arial"/>
                <w:color w:val="auto"/>
              </w:rPr>
              <w:t xml:space="preserve">18 children attended </w:t>
            </w:r>
            <w:r w:rsidR="00A46E9F">
              <w:rPr>
                <w:rFonts w:cs="Arial"/>
                <w:color w:val="auto"/>
              </w:rPr>
              <w:t>Year 1</w:t>
            </w:r>
            <w:r>
              <w:rPr>
                <w:rFonts w:cs="Arial"/>
                <w:color w:val="auto"/>
              </w:rPr>
              <w:t xml:space="preserve"> RWI 1:1 </w:t>
            </w:r>
            <w:r w:rsidR="00A46E9F">
              <w:rPr>
                <w:rFonts w:cs="Arial"/>
                <w:color w:val="auto"/>
              </w:rPr>
              <w:t xml:space="preserve">fluency </w:t>
            </w:r>
            <w:r>
              <w:rPr>
                <w:rFonts w:cs="Arial"/>
                <w:color w:val="auto"/>
              </w:rPr>
              <w:t xml:space="preserve">interventions across the </w:t>
            </w:r>
            <w:r w:rsidR="00A46E9F">
              <w:rPr>
                <w:rFonts w:cs="Arial"/>
                <w:color w:val="auto"/>
              </w:rPr>
              <w:t>summer term</w:t>
            </w:r>
            <w:r>
              <w:rPr>
                <w:rFonts w:cs="Arial"/>
                <w:color w:val="auto"/>
              </w:rPr>
              <w:t xml:space="preserve">. </w:t>
            </w:r>
            <w:r w:rsidRPr="00C13F8C">
              <w:rPr>
                <w:rFonts w:cs="Arial"/>
                <w:color w:val="auto"/>
              </w:rPr>
              <w:t xml:space="preserve">The intervention was delivered </w:t>
            </w:r>
            <w:r>
              <w:rPr>
                <w:rFonts w:cs="Arial"/>
                <w:color w:val="auto"/>
              </w:rPr>
              <w:t>d</w:t>
            </w:r>
            <w:r w:rsidR="00393DA7">
              <w:rPr>
                <w:rFonts w:cs="Arial"/>
                <w:color w:val="auto"/>
              </w:rPr>
              <w:t>aily and for each child lasted 3</w:t>
            </w:r>
            <w:r>
              <w:rPr>
                <w:rFonts w:cs="Arial"/>
                <w:color w:val="auto"/>
              </w:rPr>
              <w:t>0</w:t>
            </w:r>
            <w:r w:rsidRPr="00C13F8C">
              <w:rPr>
                <w:rFonts w:cs="Arial"/>
                <w:color w:val="auto"/>
              </w:rPr>
              <w:t xml:space="preserve"> minutes per </w:t>
            </w:r>
            <w:r>
              <w:rPr>
                <w:rFonts w:cs="Arial"/>
                <w:color w:val="auto"/>
              </w:rPr>
              <w:t>day</w:t>
            </w:r>
            <w:r w:rsidRPr="00C13F8C">
              <w:rPr>
                <w:rFonts w:cs="Arial"/>
                <w:color w:val="auto"/>
              </w:rPr>
              <w:t xml:space="preserve">. </w:t>
            </w:r>
            <w:r>
              <w:rPr>
                <w:rFonts w:cs="Arial"/>
                <w:color w:val="auto"/>
              </w:rPr>
              <w:t xml:space="preserve">Please note that “On entry” 14 children required intervention but due to the positive impact </w:t>
            </w:r>
            <w:r w:rsidR="00393DA7">
              <w:rPr>
                <w:rFonts w:cs="Arial"/>
                <w:color w:val="auto"/>
              </w:rPr>
              <w:t>that the RWI 1:1 phonics intervention had this mean that the number of children on this inte</w:t>
            </w:r>
            <w:r>
              <w:rPr>
                <w:rFonts w:cs="Arial"/>
                <w:color w:val="auto"/>
              </w:rPr>
              <w:t xml:space="preserve">rvention </w:t>
            </w:r>
            <w:r w:rsidR="00393DA7">
              <w:rPr>
                <w:rFonts w:cs="Arial"/>
                <w:color w:val="auto"/>
              </w:rPr>
              <w:t>has increased</w:t>
            </w:r>
            <w:r>
              <w:rPr>
                <w:rFonts w:cs="Arial"/>
                <w:color w:val="auto"/>
              </w:rPr>
              <w:t xml:space="preserve"> in “Summer 2” to </w:t>
            </w:r>
            <w:r w:rsidR="00393DA7">
              <w:rPr>
                <w:rFonts w:cs="Arial"/>
                <w:color w:val="auto"/>
              </w:rPr>
              <w:t>18</w:t>
            </w:r>
            <w:r>
              <w:rPr>
                <w:rFonts w:cs="Arial"/>
                <w:color w:val="auto"/>
              </w:rPr>
              <w:t xml:space="preserve"> children</w:t>
            </w:r>
            <w:r w:rsidR="00393DA7">
              <w:rPr>
                <w:rFonts w:cs="Arial"/>
                <w:color w:val="auto"/>
              </w:rPr>
              <w:t xml:space="preserve"> as children had sufficient phonics skills and could start building on their fluency</w:t>
            </w:r>
            <w:r>
              <w:rPr>
                <w:rFonts w:cs="Arial"/>
                <w:color w:val="auto"/>
              </w:rPr>
              <w:t xml:space="preserve">. </w:t>
            </w:r>
            <w:r w:rsidRPr="00C13F8C">
              <w:rPr>
                <w:rFonts w:cs="Arial"/>
                <w:color w:val="auto"/>
              </w:rPr>
              <w:t>The progress made by the children was as follows:</w:t>
            </w:r>
            <w:r>
              <w:t xml:space="preserve"> </w:t>
            </w:r>
          </w:p>
          <w:p w14:paraId="12D1F53C" w14:textId="77777777" w:rsidR="00923840" w:rsidRDefault="00923840" w:rsidP="00923840">
            <w:pPr>
              <w:pStyle w:val="TableRowCentered"/>
              <w:jc w:val="left"/>
            </w:pPr>
          </w:p>
          <w:p w14:paraId="5D5D3958" w14:textId="77777777" w:rsidR="00393DA7" w:rsidRPr="00393DA7" w:rsidRDefault="00393DA7" w:rsidP="00393DA7">
            <w:pPr>
              <w:pStyle w:val="TableRowCentered"/>
              <w:jc w:val="left"/>
              <w:rPr>
                <w:rFonts w:cs="Arial"/>
                <w:color w:val="auto"/>
              </w:rPr>
            </w:pPr>
            <w:r w:rsidRPr="00393DA7">
              <w:rPr>
                <w:rFonts w:cs="Arial"/>
                <w:color w:val="auto"/>
              </w:rPr>
              <w:t>On entry (children should be on band i at this point)</w:t>
            </w:r>
          </w:p>
          <w:p w14:paraId="5C6DDB81" w14:textId="77777777" w:rsidR="00393DA7" w:rsidRPr="00393DA7" w:rsidRDefault="00393DA7" w:rsidP="00393DA7">
            <w:pPr>
              <w:pStyle w:val="TableRowCentered"/>
              <w:jc w:val="left"/>
              <w:rPr>
                <w:rFonts w:cs="Arial"/>
                <w:color w:val="auto"/>
              </w:rPr>
            </w:pPr>
            <w:r w:rsidRPr="00393DA7">
              <w:rPr>
                <w:rFonts w:cs="Arial"/>
                <w:color w:val="auto"/>
              </w:rPr>
              <w:t>On entry (total of 14 children):  415 words per minute / 14 child = 29.6 words per minute / child</w:t>
            </w:r>
          </w:p>
          <w:p w14:paraId="246255FE" w14:textId="096F43A8" w:rsidR="00923840" w:rsidRDefault="00393DA7" w:rsidP="00393DA7">
            <w:pPr>
              <w:pStyle w:val="TableRowCentered"/>
              <w:ind w:left="0"/>
              <w:jc w:val="left"/>
              <w:rPr>
                <w:rFonts w:cs="Arial"/>
                <w:color w:val="auto"/>
              </w:rPr>
            </w:pPr>
            <w:r w:rsidRPr="00393DA7">
              <w:rPr>
                <w:rFonts w:cs="Arial"/>
                <w:color w:val="auto"/>
              </w:rPr>
              <w:t xml:space="preserve">On entry (total of 14 children): 112 RWI linked to alphabetical group / 14 children = RWI set 8 (Band H) </w:t>
            </w:r>
          </w:p>
          <w:p w14:paraId="130B7264" w14:textId="77777777" w:rsidR="00393DA7" w:rsidRDefault="00393DA7" w:rsidP="00393DA7">
            <w:pPr>
              <w:pStyle w:val="TableRowCentered"/>
              <w:ind w:left="0"/>
              <w:jc w:val="left"/>
              <w:rPr>
                <w:rFonts w:cs="Arial"/>
                <w:color w:val="auto"/>
              </w:rPr>
            </w:pPr>
          </w:p>
          <w:p w14:paraId="0F575473" w14:textId="77777777" w:rsidR="00393DA7" w:rsidRPr="00393DA7" w:rsidRDefault="00393DA7" w:rsidP="00393DA7">
            <w:pPr>
              <w:pStyle w:val="TableRowCentered"/>
              <w:jc w:val="left"/>
              <w:rPr>
                <w:rFonts w:cs="Arial"/>
                <w:color w:val="000000" w:themeColor="text1"/>
              </w:rPr>
            </w:pPr>
            <w:r w:rsidRPr="00393DA7">
              <w:rPr>
                <w:rFonts w:cs="Arial"/>
                <w:color w:val="000000" w:themeColor="text1"/>
              </w:rPr>
              <w:t>Summer 2 (children should be on band J at point)</w:t>
            </w:r>
          </w:p>
          <w:p w14:paraId="244F682A" w14:textId="77777777" w:rsidR="00393DA7" w:rsidRPr="00393DA7" w:rsidRDefault="00393DA7" w:rsidP="00393DA7">
            <w:pPr>
              <w:pStyle w:val="TableRowCentered"/>
              <w:jc w:val="left"/>
              <w:rPr>
                <w:rFonts w:cs="Arial"/>
                <w:color w:val="000000" w:themeColor="text1"/>
              </w:rPr>
            </w:pPr>
            <w:r w:rsidRPr="00393DA7">
              <w:rPr>
                <w:rFonts w:cs="Arial"/>
                <w:color w:val="000000" w:themeColor="text1"/>
              </w:rPr>
              <w:t>Summer 2 (total of 18 children):  1,117 words per minute / 18 child = 62 words per minute / child</w:t>
            </w:r>
          </w:p>
          <w:p w14:paraId="48BF8639" w14:textId="2393BA1D" w:rsidR="00081283" w:rsidRDefault="00393DA7" w:rsidP="00393DA7">
            <w:pPr>
              <w:pStyle w:val="TableRowCentered"/>
              <w:jc w:val="left"/>
              <w:rPr>
                <w:rFonts w:cs="Arial"/>
                <w:color w:val="000000" w:themeColor="text1"/>
              </w:rPr>
            </w:pPr>
            <w:r w:rsidRPr="00393DA7">
              <w:rPr>
                <w:rFonts w:cs="Arial"/>
                <w:color w:val="000000" w:themeColor="text1"/>
              </w:rPr>
              <w:t xml:space="preserve">Summer 2 (total of 18 children): 158 RWI linked to alphabetical group / 18 children = RWI set 8.7 (Band H) </w:t>
            </w:r>
          </w:p>
          <w:p w14:paraId="7557B59C" w14:textId="74924E32" w:rsidR="00393DA7" w:rsidRDefault="00393DA7" w:rsidP="00393DA7">
            <w:pPr>
              <w:pStyle w:val="TableRowCentered"/>
              <w:jc w:val="left"/>
              <w:rPr>
                <w:rFonts w:cs="Arial"/>
                <w:color w:val="000000" w:themeColor="text1"/>
              </w:rPr>
            </w:pPr>
          </w:p>
          <w:p w14:paraId="38CB8C7C" w14:textId="77777777" w:rsidR="00393DA7" w:rsidRPr="00393DA7" w:rsidRDefault="00393DA7" w:rsidP="00393DA7">
            <w:pPr>
              <w:pStyle w:val="TableRowCentered"/>
              <w:jc w:val="left"/>
              <w:rPr>
                <w:rFonts w:cs="Arial"/>
                <w:color w:val="000000" w:themeColor="text1"/>
                <w:u w:val="single"/>
              </w:rPr>
            </w:pPr>
            <w:r w:rsidRPr="00393DA7">
              <w:rPr>
                <w:rFonts w:cs="Arial"/>
                <w:color w:val="000000" w:themeColor="text1"/>
                <w:u w:val="single"/>
              </w:rPr>
              <w:t>Year 1</w:t>
            </w:r>
          </w:p>
          <w:p w14:paraId="2BCED45E" w14:textId="78C3D0AD" w:rsidR="00393DA7" w:rsidRDefault="00393DA7" w:rsidP="00393DA7">
            <w:pPr>
              <w:pStyle w:val="TableRowCentered"/>
              <w:jc w:val="left"/>
              <w:rPr>
                <w:rFonts w:cs="Arial"/>
                <w:color w:val="000000" w:themeColor="text1"/>
              </w:rPr>
            </w:pPr>
            <w:r w:rsidRPr="00393DA7">
              <w:rPr>
                <w:rFonts w:cs="Arial"/>
                <w:color w:val="000000" w:themeColor="text1"/>
              </w:rPr>
              <w:t>1</w:t>
            </w:r>
            <w:r>
              <w:rPr>
                <w:rFonts w:cs="Arial"/>
                <w:color w:val="000000" w:themeColor="text1"/>
              </w:rPr>
              <w:t>5 children attended Year 2</w:t>
            </w:r>
            <w:r w:rsidRPr="00393DA7">
              <w:rPr>
                <w:rFonts w:cs="Arial"/>
                <w:color w:val="000000" w:themeColor="text1"/>
              </w:rPr>
              <w:t xml:space="preserve"> RWI 1:1 fluency interventions across the summer term. The intervention was delivered daily and for each child lasted 30 minutes per day</w:t>
            </w:r>
            <w:r>
              <w:rPr>
                <w:rFonts w:cs="Arial"/>
                <w:color w:val="000000" w:themeColor="text1"/>
              </w:rPr>
              <w:t>. Please note that “On entry” 13</w:t>
            </w:r>
            <w:r w:rsidRPr="00393DA7">
              <w:rPr>
                <w:rFonts w:cs="Arial"/>
                <w:color w:val="000000" w:themeColor="text1"/>
              </w:rPr>
              <w:t xml:space="preserve"> children required intervention but due to the positive impact that the RWI 1:1 phonics intervention had this mean that the number of children on this intervention has increased in “Summer 2” to 1</w:t>
            </w:r>
            <w:r>
              <w:rPr>
                <w:rFonts w:cs="Arial"/>
                <w:color w:val="000000" w:themeColor="text1"/>
              </w:rPr>
              <w:t>4</w:t>
            </w:r>
            <w:r w:rsidRPr="00393DA7">
              <w:rPr>
                <w:rFonts w:cs="Arial"/>
                <w:color w:val="000000" w:themeColor="text1"/>
              </w:rPr>
              <w:t xml:space="preserve"> children as children had sufficient phonics skills and could start building on their fluency. The progress made by the children was as follows:</w:t>
            </w:r>
          </w:p>
          <w:p w14:paraId="0B2987B1" w14:textId="005401D7" w:rsidR="00393DA7" w:rsidRDefault="00393DA7" w:rsidP="00393DA7">
            <w:pPr>
              <w:pStyle w:val="TableRowCentered"/>
              <w:jc w:val="left"/>
              <w:rPr>
                <w:rFonts w:cs="Arial"/>
                <w:color w:val="000000" w:themeColor="text1"/>
              </w:rPr>
            </w:pPr>
          </w:p>
          <w:p w14:paraId="40CA767B" w14:textId="77777777" w:rsidR="00393DA7" w:rsidRPr="00393DA7" w:rsidRDefault="00393DA7" w:rsidP="00393DA7">
            <w:pPr>
              <w:pStyle w:val="TableRowCentered"/>
              <w:jc w:val="left"/>
              <w:rPr>
                <w:rFonts w:cs="Arial"/>
                <w:color w:val="000000" w:themeColor="text1"/>
              </w:rPr>
            </w:pPr>
            <w:r w:rsidRPr="00393DA7">
              <w:rPr>
                <w:rFonts w:cs="Arial"/>
                <w:color w:val="000000" w:themeColor="text1"/>
              </w:rPr>
              <w:t>On entry (children should be on band M at this point)</w:t>
            </w:r>
          </w:p>
          <w:p w14:paraId="32301C8F" w14:textId="77777777" w:rsidR="00393DA7" w:rsidRPr="00393DA7" w:rsidRDefault="00393DA7" w:rsidP="00393DA7">
            <w:pPr>
              <w:pStyle w:val="TableRowCentered"/>
              <w:jc w:val="left"/>
              <w:rPr>
                <w:rFonts w:cs="Arial"/>
                <w:color w:val="000000" w:themeColor="text1"/>
              </w:rPr>
            </w:pPr>
            <w:r w:rsidRPr="00393DA7">
              <w:rPr>
                <w:rFonts w:cs="Arial"/>
                <w:color w:val="000000" w:themeColor="text1"/>
              </w:rPr>
              <w:t>On entry (total of 13 children):  585 words per minute / 13 child = 45 words per minute / child</w:t>
            </w:r>
          </w:p>
          <w:p w14:paraId="31D74A3B" w14:textId="76309323" w:rsidR="00393DA7" w:rsidRDefault="00393DA7" w:rsidP="00393DA7">
            <w:pPr>
              <w:pStyle w:val="TableRowCentered"/>
              <w:jc w:val="left"/>
              <w:rPr>
                <w:rFonts w:cs="Arial"/>
                <w:color w:val="000000" w:themeColor="text1"/>
              </w:rPr>
            </w:pPr>
            <w:r w:rsidRPr="00393DA7">
              <w:rPr>
                <w:rFonts w:cs="Arial"/>
                <w:color w:val="000000" w:themeColor="text1"/>
              </w:rPr>
              <w:t xml:space="preserve">On entry (total of 13 children): 106 RWI linked to alphabetical group / 13 children = RWI set 8.1 (Band H) </w:t>
            </w:r>
          </w:p>
          <w:p w14:paraId="40898D0B" w14:textId="30B64FBB" w:rsidR="00393DA7" w:rsidRDefault="00393DA7" w:rsidP="00393DA7">
            <w:pPr>
              <w:pStyle w:val="TableRowCentered"/>
              <w:jc w:val="left"/>
              <w:rPr>
                <w:rFonts w:cs="Arial"/>
                <w:color w:val="000000" w:themeColor="text1"/>
              </w:rPr>
            </w:pPr>
          </w:p>
          <w:p w14:paraId="2DBD72C1" w14:textId="77777777" w:rsidR="00393DA7" w:rsidRPr="00393DA7" w:rsidRDefault="00393DA7" w:rsidP="00393DA7">
            <w:pPr>
              <w:pStyle w:val="TableRowCentered"/>
              <w:jc w:val="left"/>
              <w:rPr>
                <w:rFonts w:cs="Arial"/>
                <w:color w:val="000000" w:themeColor="text1"/>
              </w:rPr>
            </w:pPr>
            <w:r w:rsidRPr="00393DA7">
              <w:rPr>
                <w:rFonts w:cs="Arial"/>
                <w:color w:val="000000" w:themeColor="text1"/>
              </w:rPr>
              <w:t>Summer 2 (children should be on band O at point)</w:t>
            </w:r>
          </w:p>
          <w:p w14:paraId="57E81BDF" w14:textId="77777777" w:rsidR="00393DA7" w:rsidRPr="00393DA7" w:rsidRDefault="00393DA7" w:rsidP="00393DA7">
            <w:pPr>
              <w:pStyle w:val="TableRowCentered"/>
              <w:jc w:val="left"/>
              <w:rPr>
                <w:rFonts w:cs="Arial"/>
                <w:color w:val="000000" w:themeColor="text1"/>
              </w:rPr>
            </w:pPr>
            <w:r w:rsidRPr="00393DA7">
              <w:rPr>
                <w:rFonts w:cs="Arial"/>
                <w:color w:val="000000" w:themeColor="text1"/>
              </w:rPr>
              <w:t>Summer 2 (total of 14 children):  1061 words per minute / 14 child = 75.5 words per minute / child</w:t>
            </w:r>
          </w:p>
          <w:p w14:paraId="5D1D7972" w14:textId="1F8FE372" w:rsidR="00393DA7" w:rsidRPr="00923840" w:rsidRDefault="00393DA7" w:rsidP="00393DA7">
            <w:pPr>
              <w:pStyle w:val="TableRowCentered"/>
              <w:jc w:val="left"/>
              <w:rPr>
                <w:rFonts w:cs="Arial"/>
                <w:color w:val="000000" w:themeColor="text1"/>
              </w:rPr>
            </w:pPr>
            <w:r w:rsidRPr="00393DA7">
              <w:rPr>
                <w:rFonts w:cs="Arial"/>
                <w:color w:val="000000" w:themeColor="text1"/>
              </w:rPr>
              <w:t xml:space="preserve">Summer 2 (total of 14 children): 129 RWI linked to alphabetical group / 14 children = RWI set 9.21 (Band I) </w:t>
            </w:r>
          </w:p>
          <w:p w14:paraId="768D1D08" w14:textId="77777777" w:rsidR="00081283" w:rsidRDefault="00081283" w:rsidP="00A62E63">
            <w:pPr>
              <w:pStyle w:val="TableRowCentered"/>
              <w:jc w:val="left"/>
              <w:rPr>
                <w:rFonts w:cs="Arial"/>
                <w:color w:val="auto"/>
              </w:rPr>
            </w:pPr>
          </w:p>
          <w:p w14:paraId="49995793" w14:textId="77777777" w:rsidR="00081283" w:rsidRDefault="00081283" w:rsidP="00A62E63">
            <w:pPr>
              <w:pStyle w:val="TableRowCentered"/>
              <w:jc w:val="left"/>
              <w:rPr>
                <w:rFonts w:cs="Arial"/>
                <w:color w:val="FF0000"/>
              </w:rPr>
            </w:pPr>
          </w:p>
          <w:p w14:paraId="72546B82" w14:textId="3C46E584" w:rsidR="00C4266A" w:rsidRPr="00923840" w:rsidRDefault="00C4266A" w:rsidP="00C4266A">
            <w:pPr>
              <w:pStyle w:val="TableRowCentered"/>
              <w:jc w:val="left"/>
              <w:rPr>
                <w:rFonts w:cs="Arial"/>
                <w:color w:val="000000" w:themeColor="text1"/>
                <w:u w:val="single"/>
              </w:rPr>
            </w:pPr>
            <w:r>
              <w:rPr>
                <w:rFonts w:cs="Arial"/>
                <w:color w:val="000000" w:themeColor="text1"/>
                <w:u w:val="single"/>
              </w:rPr>
              <w:t>Lexia</w:t>
            </w:r>
          </w:p>
          <w:p w14:paraId="2BAD5FD3" w14:textId="77777777" w:rsidR="00C4266A" w:rsidRDefault="00C4266A" w:rsidP="00C4266A">
            <w:pPr>
              <w:pStyle w:val="TableRowCentered"/>
              <w:jc w:val="left"/>
              <w:rPr>
                <w:rFonts w:cs="Arial"/>
                <w:color w:val="000000" w:themeColor="text1"/>
              </w:rPr>
            </w:pPr>
          </w:p>
          <w:p w14:paraId="3541F666" w14:textId="4675582F" w:rsidR="00C4266A" w:rsidRPr="00825989" w:rsidRDefault="00C4266A" w:rsidP="00C4266A">
            <w:pPr>
              <w:pStyle w:val="TableRowCentered"/>
              <w:jc w:val="left"/>
              <w:rPr>
                <w:sz w:val="22"/>
                <w:szCs w:val="22"/>
                <w:u w:val="single"/>
              </w:rPr>
            </w:pPr>
            <w:r>
              <w:rPr>
                <w:sz w:val="22"/>
                <w:szCs w:val="22"/>
                <w:u w:val="single"/>
              </w:rPr>
              <w:t>Reception</w:t>
            </w:r>
          </w:p>
          <w:p w14:paraId="3E966B3D" w14:textId="6AB4A19E" w:rsidR="00C4266A" w:rsidRDefault="00C4266A" w:rsidP="00C4266A">
            <w:pPr>
              <w:pStyle w:val="TableRowCentered"/>
              <w:jc w:val="left"/>
            </w:pPr>
            <w:r>
              <w:rPr>
                <w:rFonts w:cs="Arial"/>
                <w:color w:val="auto"/>
              </w:rPr>
              <w:t xml:space="preserve">25 children attended Lexia across the academic year. </w:t>
            </w:r>
            <w:r w:rsidRPr="00C13F8C">
              <w:rPr>
                <w:rFonts w:cs="Arial"/>
                <w:color w:val="auto"/>
              </w:rPr>
              <w:t xml:space="preserve">The intervention was delivered </w:t>
            </w:r>
            <w:r>
              <w:rPr>
                <w:rFonts w:cs="Arial"/>
                <w:color w:val="auto"/>
              </w:rPr>
              <w:t>daily and for each child lasted 30</w:t>
            </w:r>
            <w:r w:rsidRPr="00C13F8C">
              <w:rPr>
                <w:rFonts w:cs="Arial"/>
                <w:color w:val="auto"/>
              </w:rPr>
              <w:t xml:space="preserve"> minutes per </w:t>
            </w:r>
            <w:r>
              <w:rPr>
                <w:rFonts w:cs="Arial"/>
                <w:color w:val="auto"/>
              </w:rPr>
              <w:t>day</w:t>
            </w:r>
            <w:r w:rsidRPr="00C13F8C">
              <w:rPr>
                <w:rFonts w:cs="Arial"/>
                <w:color w:val="auto"/>
              </w:rPr>
              <w:t>.</w:t>
            </w:r>
            <w:r>
              <w:rPr>
                <w:rFonts w:cs="Arial"/>
                <w:color w:val="auto"/>
              </w:rPr>
              <w:t xml:space="preserve"> </w:t>
            </w:r>
            <w:r w:rsidRPr="00C13F8C">
              <w:rPr>
                <w:rFonts w:cs="Arial"/>
                <w:color w:val="auto"/>
              </w:rPr>
              <w:t>The progress made by the children was as follows:</w:t>
            </w:r>
            <w:r>
              <w:t xml:space="preserve"> </w:t>
            </w:r>
          </w:p>
          <w:p w14:paraId="463200E2" w14:textId="77777777" w:rsidR="00C4266A" w:rsidRDefault="00C4266A" w:rsidP="00C4266A">
            <w:pPr>
              <w:pStyle w:val="TableRowCentered"/>
              <w:jc w:val="left"/>
            </w:pPr>
            <w:r>
              <w:t>On entry (20 children in total)</w:t>
            </w:r>
          </w:p>
          <w:p w14:paraId="0758B3E6" w14:textId="77777777" w:rsidR="00C4266A" w:rsidRDefault="00C4266A" w:rsidP="00C4266A">
            <w:pPr>
              <w:pStyle w:val="TableRowCentered"/>
              <w:jc w:val="left"/>
            </w:pPr>
            <w:r>
              <w:t>0 children below year level of material / 20 children in total = 0% below year level of material</w:t>
            </w:r>
          </w:p>
          <w:p w14:paraId="70FA3134" w14:textId="77777777" w:rsidR="00C4266A" w:rsidRDefault="00C4266A" w:rsidP="00C4266A">
            <w:pPr>
              <w:pStyle w:val="TableRowCentered"/>
              <w:jc w:val="left"/>
            </w:pPr>
            <w:r>
              <w:t xml:space="preserve">20 in year level of material or above / 20 children in total = 100% in year level of material or above </w:t>
            </w:r>
          </w:p>
          <w:p w14:paraId="2EA91DB7" w14:textId="207E23F3" w:rsidR="00C4266A" w:rsidRDefault="00C4266A" w:rsidP="00C4266A">
            <w:pPr>
              <w:pStyle w:val="TableRowCentered"/>
              <w:jc w:val="left"/>
            </w:pPr>
            <w:r>
              <w:t>5 above year level of material / 20 children in total = 25% above year level of material</w:t>
            </w:r>
          </w:p>
          <w:p w14:paraId="2235D79A" w14:textId="60060059" w:rsidR="00C4266A" w:rsidRDefault="00C4266A" w:rsidP="00C4266A">
            <w:pPr>
              <w:pStyle w:val="TableRowCentered"/>
              <w:jc w:val="left"/>
            </w:pPr>
          </w:p>
          <w:p w14:paraId="2BED36F9" w14:textId="77777777" w:rsidR="00C4266A" w:rsidRDefault="00C4266A" w:rsidP="00C4266A">
            <w:pPr>
              <w:pStyle w:val="TableRowCentered"/>
              <w:jc w:val="left"/>
            </w:pPr>
            <w:r>
              <w:t>Summer (20 children in total)</w:t>
            </w:r>
          </w:p>
          <w:p w14:paraId="4662C898" w14:textId="77777777" w:rsidR="00C4266A" w:rsidRDefault="00C4266A" w:rsidP="00C4266A">
            <w:pPr>
              <w:pStyle w:val="TableRowCentered"/>
              <w:jc w:val="left"/>
            </w:pPr>
            <w:r>
              <w:t>0 children below year level of material / 20 children in total = 0% below year level of material</w:t>
            </w:r>
          </w:p>
          <w:p w14:paraId="56B65CC3" w14:textId="77777777" w:rsidR="00C4266A" w:rsidRDefault="00C4266A" w:rsidP="00C4266A">
            <w:pPr>
              <w:pStyle w:val="TableRowCentered"/>
              <w:jc w:val="left"/>
            </w:pPr>
            <w:r>
              <w:t xml:space="preserve">20 in year level of material or above / 20 children in total = 100% in year level of material or above </w:t>
            </w:r>
          </w:p>
          <w:p w14:paraId="61483A23" w14:textId="2D11941C" w:rsidR="00C4266A" w:rsidRDefault="00C4266A" w:rsidP="00C4266A">
            <w:pPr>
              <w:pStyle w:val="TableRowCentered"/>
              <w:jc w:val="left"/>
            </w:pPr>
            <w:r>
              <w:t>20 above year level of material / 20 children in total = 100% above year level of material</w:t>
            </w:r>
          </w:p>
          <w:p w14:paraId="2DD30D65" w14:textId="2AA0EC68" w:rsidR="00C4266A" w:rsidRDefault="00C4266A" w:rsidP="00C4266A">
            <w:pPr>
              <w:pStyle w:val="TableRowCentered"/>
              <w:jc w:val="left"/>
            </w:pPr>
          </w:p>
          <w:p w14:paraId="0A7E1CF9" w14:textId="42E2FB90" w:rsidR="00C4266A" w:rsidRPr="00825989" w:rsidRDefault="00C4266A" w:rsidP="00C4266A">
            <w:pPr>
              <w:pStyle w:val="TableRowCentered"/>
              <w:jc w:val="left"/>
              <w:rPr>
                <w:sz w:val="22"/>
                <w:szCs w:val="22"/>
                <w:u w:val="single"/>
              </w:rPr>
            </w:pPr>
            <w:r>
              <w:rPr>
                <w:sz w:val="22"/>
                <w:szCs w:val="22"/>
                <w:u w:val="single"/>
              </w:rPr>
              <w:t>Year 1</w:t>
            </w:r>
          </w:p>
          <w:p w14:paraId="232A2D76" w14:textId="1EC8EE64" w:rsidR="00C4266A" w:rsidRDefault="00C4266A" w:rsidP="00C4266A">
            <w:pPr>
              <w:pStyle w:val="TableRowCentered"/>
              <w:jc w:val="left"/>
            </w:pPr>
            <w:r>
              <w:rPr>
                <w:rFonts w:cs="Arial"/>
                <w:color w:val="auto"/>
              </w:rPr>
              <w:t xml:space="preserve">18 children attended Lexia across the academic year. </w:t>
            </w:r>
            <w:r w:rsidRPr="00C13F8C">
              <w:rPr>
                <w:rFonts w:cs="Arial"/>
                <w:color w:val="auto"/>
              </w:rPr>
              <w:t xml:space="preserve">The intervention was delivered </w:t>
            </w:r>
            <w:r>
              <w:rPr>
                <w:rFonts w:cs="Arial"/>
                <w:color w:val="auto"/>
              </w:rPr>
              <w:t>daily and for each child lasted 30</w:t>
            </w:r>
            <w:r w:rsidRPr="00C13F8C">
              <w:rPr>
                <w:rFonts w:cs="Arial"/>
                <w:color w:val="auto"/>
              </w:rPr>
              <w:t xml:space="preserve"> minutes per </w:t>
            </w:r>
            <w:r>
              <w:rPr>
                <w:rFonts w:cs="Arial"/>
                <w:color w:val="auto"/>
              </w:rPr>
              <w:t>day</w:t>
            </w:r>
            <w:r w:rsidRPr="00C13F8C">
              <w:rPr>
                <w:rFonts w:cs="Arial"/>
                <w:color w:val="auto"/>
              </w:rPr>
              <w:t>.</w:t>
            </w:r>
            <w:r>
              <w:rPr>
                <w:rFonts w:cs="Arial"/>
                <w:color w:val="auto"/>
              </w:rPr>
              <w:t xml:space="preserve"> </w:t>
            </w:r>
            <w:r w:rsidRPr="00C13F8C">
              <w:rPr>
                <w:rFonts w:cs="Arial"/>
                <w:color w:val="auto"/>
              </w:rPr>
              <w:t>The progress made by the children was as follows:</w:t>
            </w:r>
            <w:r>
              <w:t xml:space="preserve"> </w:t>
            </w:r>
          </w:p>
          <w:p w14:paraId="1D6E4042" w14:textId="7C16F9F8" w:rsidR="00C4266A" w:rsidRDefault="00C4266A" w:rsidP="00C4266A">
            <w:pPr>
              <w:pStyle w:val="TableRowCentered"/>
              <w:jc w:val="left"/>
            </w:pPr>
          </w:p>
          <w:p w14:paraId="657A488D" w14:textId="77777777" w:rsidR="00C4266A" w:rsidRDefault="00C4266A" w:rsidP="00C4266A">
            <w:pPr>
              <w:pStyle w:val="TableRowCentered"/>
              <w:jc w:val="left"/>
            </w:pPr>
            <w:r>
              <w:t>On entry (15 children in total)</w:t>
            </w:r>
          </w:p>
          <w:p w14:paraId="1F3E338C" w14:textId="77777777" w:rsidR="00C4266A" w:rsidRDefault="00C4266A" w:rsidP="00C4266A">
            <w:pPr>
              <w:pStyle w:val="TableRowCentered"/>
              <w:jc w:val="left"/>
            </w:pPr>
            <w:r>
              <w:t>4 children below year level of material / 15 children in total = 27% below year level of material</w:t>
            </w:r>
          </w:p>
          <w:p w14:paraId="304C5209" w14:textId="1CDCF2DA" w:rsidR="00C4266A" w:rsidRDefault="00C4266A" w:rsidP="00C4266A">
            <w:pPr>
              <w:pStyle w:val="TableRowCentered"/>
              <w:jc w:val="left"/>
            </w:pPr>
            <w:r>
              <w:t>11 in year level of material or above / 15 children in total = 73% in year level of material or above</w:t>
            </w:r>
          </w:p>
          <w:p w14:paraId="18809F26" w14:textId="5C779B31" w:rsidR="00C4266A" w:rsidRDefault="00C4266A" w:rsidP="00C4266A">
            <w:pPr>
              <w:pStyle w:val="TableRowCentered"/>
              <w:jc w:val="left"/>
            </w:pPr>
            <w:r>
              <w:t>0 above year level of material / 15 children in total = 0% above year level of material</w:t>
            </w:r>
          </w:p>
          <w:p w14:paraId="7389A068" w14:textId="5804D7B4" w:rsidR="00C4266A" w:rsidRDefault="00C4266A" w:rsidP="00C4266A">
            <w:pPr>
              <w:pStyle w:val="TableRowCentered"/>
              <w:jc w:val="left"/>
            </w:pPr>
          </w:p>
          <w:p w14:paraId="60798DCE" w14:textId="77777777" w:rsidR="00C4266A" w:rsidRDefault="00C4266A" w:rsidP="00C4266A">
            <w:pPr>
              <w:pStyle w:val="TableRowCentered"/>
              <w:jc w:val="left"/>
            </w:pPr>
            <w:r>
              <w:t>Summer (15 children in total)</w:t>
            </w:r>
          </w:p>
          <w:p w14:paraId="32420A54" w14:textId="77777777" w:rsidR="00C4266A" w:rsidRDefault="00C4266A" w:rsidP="00C4266A">
            <w:pPr>
              <w:pStyle w:val="TableRowCentered"/>
              <w:jc w:val="left"/>
            </w:pPr>
            <w:r>
              <w:t>0 children below year level of material / 15 children in total = 0% below year level of material</w:t>
            </w:r>
          </w:p>
          <w:p w14:paraId="2A9300F9" w14:textId="635D612C" w:rsidR="00C4266A" w:rsidRDefault="00C4266A" w:rsidP="00C4266A">
            <w:pPr>
              <w:pStyle w:val="TableRowCentered"/>
              <w:jc w:val="left"/>
            </w:pPr>
            <w:r>
              <w:t>15 in year level of material or above / 15 children in total = 100% in year level of material or above</w:t>
            </w:r>
          </w:p>
          <w:p w14:paraId="4CD3FFEA" w14:textId="64991CBB" w:rsidR="00C4266A" w:rsidRDefault="00C4266A" w:rsidP="00C4266A">
            <w:pPr>
              <w:pStyle w:val="TableRowCentered"/>
              <w:jc w:val="left"/>
            </w:pPr>
            <w:r>
              <w:t>1 above year level of material / 15 children in total = 7% above year level of material</w:t>
            </w:r>
          </w:p>
          <w:p w14:paraId="7A9A17E9" w14:textId="1107B338" w:rsidR="00C4266A" w:rsidRDefault="00C4266A" w:rsidP="00C4266A">
            <w:pPr>
              <w:pStyle w:val="TableRowCentered"/>
              <w:jc w:val="left"/>
            </w:pPr>
          </w:p>
          <w:p w14:paraId="164A7EDE" w14:textId="44B5726B" w:rsidR="00C4266A" w:rsidRPr="00825989" w:rsidRDefault="00C4266A" w:rsidP="00C4266A">
            <w:pPr>
              <w:pStyle w:val="TableRowCentered"/>
              <w:jc w:val="left"/>
              <w:rPr>
                <w:sz w:val="22"/>
                <w:szCs w:val="22"/>
                <w:u w:val="single"/>
              </w:rPr>
            </w:pPr>
            <w:r>
              <w:rPr>
                <w:sz w:val="22"/>
                <w:szCs w:val="22"/>
                <w:u w:val="single"/>
              </w:rPr>
              <w:t>Year 2</w:t>
            </w:r>
          </w:p>
          <w:p w14:paraId="42F1B8BB" w14:textId="02B99896" w:rsidR="00C4266A" w:rsidRDefault="00C4266A" w:rsidP="00C4266A">
            <w:pPr>
              <w:pStyle w:val="TableRowCentered"/>
              <w:jc w:val="left"/>
            </w:pPr>
            <w:r>
              <w:rPr>
                <w:rFonts w:cs="Arial"/>
                <w:color w:val="auto"/>
              </w:rPr>
              <w:t xml:space="preserve">18 children attended Lexia across the academic year. </w:t>
            </w:r>
            <w:r w:rsidRPr="00C13F8C">
              <w:rPr>
                <w:rFonts w:cs="Arial"/>
                <w:color w:val="auto"/>
              </w:rPr>
              <w:t xml:space="preserve">The intervention was delivered </w:t>
            </w:r>
            <w:r>
              <w:rPr>
                <w:rFonts w:cs="Arial"/>
                <w:color w:val="auto"/>
              </w:rPr>
              <w:t>daily and for each child lasted 30</w:t>
            </w:r>
            <w:r w:rsidRPr="00C13F8C">
              <w:rPr>
                <w:rFonts w:cs="Arial"/>
                <w:color w:val="auto"/>
              </w:rPr>
              <w:t xml:space="preserve"> minutes per </w:t>
            </w:r>
            <w:r>
              <w:rPr>
                <w:rFonts w:cs="Arial"/>
                <w:color w:val="auto"/>
              </w:rPr>
              <w:t>day</w:t>
            </w:r>
            <w:r w:rsidRPr="00C13F8C">
              <w:rPr>
                <w:rFonts w:cs="Arial"/>
                <w:color w:val="auto"/>
              </w:rPr>
              <w:t>.</w:t>
            </w:r>
            <w:r>
              <w:rPr>
                <w:rFonts w:cs="Arial"/>
                <w:color w:val="auto"/>
              </w:rPr>
              <w:t xml:space="preserve"> </w:t>
            </w:r>
            <w:r w:rsidRPr="00C13F8C">
              <w:rPr>
                <w:rFonts w:cs="Arial"/>
                <w:color w:val="auto"/>
              </w:rPr>
              <w:t>The progress made by the children was as follows:</w:t>
            </w:r>
            <w:r>
              <w:t xml:space="preserve"> </w:t>
            </w:r>
          </w:p>
          <w:p w14:paraId="251F6C1D" w14:textId="2DFB160C" w:rsidR="00C4266A" w:rsidRDefault="00C4266A" w:rsidP="00C4266A">
            <w:pPr>
              <w:pStyle w:val="TableRowCentered"/>
              <w:jc w:val="left"/>
            </w:pPr>
          </w:p>
          <w:p w14:paraId="359FB941" w14:textId="77777777" w:rsidR="00C4266A" w:rsidRDefault="00C4266A" w:rsidP="00C4266A">
            <w:pPr>
              <w:pStyle w:val="TableRowCentered"/>
              <w:jc w:val="left"/>
            </w:pPr>
            <w:r>
              <w:t>On entry (15 children in total)</w:t>
            </w:r>
          </w:p>
          <w:p w14:paraId="4B92CBA1" w14:textId="77777777" w:rsidR="00C4266A" w:rsidRDefault="00C4266A" w:rsidP="00C4266A">
            <w:pPr>
              <w:pStyle w:val="TableRowCentered"/>
              <w:jc w:val="left"/>
            </w:pPr>
            <w:r>
              <w:t>13 children below year level of material / 15 children in total = 87% below year level of material</w:t>
            </w:r>
          </w:p>
          <w:p w14:paraId="599AB13C" w14:textId="77777777" w:rsidR="00C4266A" w:rsidRDefault="00C4266A" w:rsidP="00C4266A">
            <w:pPr>
              <w:pStyle w:val="TableRowCentered"/>
              <w:jc w:val="left"/>
            </w:pPr>
            <w:r>
              <w:t xml:space="preserve">2 in year level of material or above / 15 children in total = 13% in year level of material or above </w:t>
            </w:r>
          </w:p>
          <w:p w14:paraId="14898F72" w14:textId="47C79C99" w:rsidR="00C4266A" w:rsidRDefault="00C4266A" w:rsidP="00C4266A">
            <w:pPr>
              <w:pStyle w:val="TableRowCentered"/>
              <w:jc w:val="left"/>
            </w:pPr>
            <w:r>
              <w:t>0 above year level of material / 15 children in total = 0% above year level of material</w:t>
            </w:r>
          </w:p>
          <w:p w14:paraId="4FCF6B41" w14:textId="6EE7FD30" w:rsidR="00C4266A" w:rsidRDefault="00C4266A" w:rsidP="00C4266A">
            <w:pPr>
              <w:pStyle w:val="TableRowCentered"/>
              <w:jc w:val="left"/>
            </w:pPr>
          </w:p>
          <w:p w14:paraId="33181800" w14:textId="77777777" w:rsidR="00C4266A" w:rsidRDefault="00C4266A" w:rsidP="00C4266A">
            <w:pPr>
              <w:pStyle w:val="TableRowCentered"/>
              <w:jc w:val="left"/>
            </w:pPr>
            <w:r>
              <w:t>Summer (15 children in total)</w:t>
            </w:r>
          </w:p>
          <w:p w14:paraId="3E5D97D5" w14:textId="77777777" w:rsidR="00C4266A" w:rsidRDefault="00C4266A" w:rsidP="00C4266A">
            <w:pPr>
              <w:pStyle w:val="TableRowCentered"/>
              <w:jc w:val="left"/>
            </w:pPr>
            <w:r>
              <w:t>7 children below year level of material / 15 children in total = 47% below year level of material</w:t>
            </w:r>
          </w:p>
          <w:p w14:paraId="2796AC6F" w14:textId="77777777" w:rsidR="00C4266A" w:rsidRDefault="00C4266A" w:rsidP="00C4266A">
            <w:pPr>
              <w:pStyle w:val="TableRowCentered"/>
              <w:jc w:val="left"/>
            </w:pPr>
            <w:r>
              <w:t xml:space="preserve">8 in year level of material or above / 15 children in total = 53% in year level of material or above </w:t>
            </w:r>
          </w:p>
          <w:p w14:paraId="54E91C36" w14:textId="5A61E0EF" w:rsidR="00C4266A" w:rsidRDefault="00C4266A" w:rsidP="00C4266A">
            <w:pPr>
              <w:pStyle w:val="TableRowCentered"/>
              <w:jc w:val="left"/>
            </w:pPr>
            <w:r>
              <w:t>1 above year level of material / 15 children in total = 7% above year level of material</w:t>
            </w:r>
          </w:p>
          <w:p w14:paraId="6F731B85" w14:textId="77777777" w:rsidR="00C4266A" w:rsidRDefault="00C4266A" w:rsidP="00C4266A">
            <w:pPr>
              <w:pStyle w:val="TableRowCentered"/>
              <w:jc w:val="left"/>
            </w:pPr>
          </w:p>
          <w:p w14:paraId="41195AB1" w14:textId="77777777" w:rsidR="00C4266A" w:rsidRDefault="00C4266A" w:rsidP="00C4266A">
            <w:pPr>
              <w:pStyle w:val="TableRowCentered"/>
              <w:jc w:val="left"/>
            </w:pPr>
          </w:p>
          <w:p w14:paraId="1E9FC46E" w14:textId="24E6E985" w:rsidR="00C4266A" w:rsidRPr="00B349C8" w:rsidRDefault="00C4266A" w:rsidP="00A62E63">
            <w:pPr>
              <w:pStyle w:val="TableRowCentered"/>
              <w:jc w:val="left"/>
              <w:rPr>
                <w:rFonts w:cs="Arial"/>
                <w:color w:val="FF0000"/>
              </w:rPr>
            </w:pPr>
          </w:p>
        </w:tc>
      </w:tr>
      <w:tr w:rsidR="00081283" w:rsidRPr="00E27862" w14:paraId="41514916" w14:textId="77777777" w:rsidTr="00A62E63">
        <w:tc>
          <w:tcPr>
            <w:tcW w:w="73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919478" w14:textId="77777777" w:rsidR="00081283" w:rsidRPr="00E27862" w:rsidRDefault="00081283" w:rsidP="00A62E63">
            <w:pPr>
              <w:pStyle w:val="TableRow"/>
              <w:rPr>
                <w:rFonts w:cs="Arial"/>
                <w:color w:val="auto"/>
              </w:rPr>
            </w:pPr>
            <w:r w:rsidRPr="00E27862">
              <w:rPr>
                <w:rFonts w:cs="Arial"/>
                <w:color w:val="auto"/>
              </w:rPr>
              <w:t xml:space="preserve">Improved </w:t>
            </w:r>
            <w:r>
              <w:rPr>
                <w:rFonts w:cs="Arial"/>
                <w:color w:val="auto"/>
              </w:rPr>
              <w:t>writing</w:t>
            </w:r>
            <w:r w:rsidRPr="00E27862">
              <w:rPr>
                <w:rFonts w:cs="Arial"/>
                <w:color w:val="auto"/>
              </w:rPr>
              <w:t xml:space="preserve"> attainment among disadvantaged pupils. </w:t>
            </w:r>
          </w:p>
        </w:tc>
        <w:tc>
          <w:tcPr>
            <w:tcW w:w="71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D2AD09" w14:textId="27222D2A" w:rsidR="00D5200E" w:rsidRPr="00760E1C" w:rsidRDefault="00D5200E" w:rsidP="00D5200E">
            <w:pPr>
              <w:rPr>
                <w:b/>
              </w:rPr>
            </w:pPr>
            <w:r>
              <w:rPr>
                <w:b/>
              </w:rPr>
              <w:t>Writing</w:t>
            </w:r>
            <w:r w:rsidRPr="00760E1C">
              <w:rPr>
                <w:b/>
              </w:rPr>
              <w:t xml:space="preserve"> </w:t>
            </w:r>
          </w:p>
          <w:tbl>
            <w:tblPr>
              <w:tblStyle w:val="TableGrid"/>
              <w:tblW w:w="7371" w:type="dxa"/>
              <w:tblLook w:val="04A0" w:firstRow="1" w:lastRow="0" w:firstColumn="1" w:lastColumn="0" w:noHBand="0" w:noVBand="1"/>
            </w:tblPr>
            <w:tblGrid>
              <w:gridCol w:w="3514"/>
              <w:gridCol w:w="846"/>
              <w:gridCol w:w="1097"/>
              <w:gridCol w:w="817"/>
              <w:gridCol w:w="1097"/>
            </w:tblGrid>
            <w:tr w:rsidR="00D5200E" w:rsidRPr="00760E1C" w14:paraId="7FF724CA" w14:textId="77777777" w:rsidTr="00A62E63">
              <w:tc>
                <w:tcPr>
                  <w:tcW w:w="3514" w:type="dxa"/>
                </w:tcPr>
                <w:p w14:paraId="6F44F939" w14:textId="77777777" w:rsidR="00D5200E" w:rsidRPr="00760E1C" w:rsidRDefault="00D5200E" w:rsidP="00D5200E">
                  <w:pPr>
                    <w:jc w:val="center"/>
                    <w:rPr>
                      <w:sz w:val="28"/>
                      <w:szCs w:val="28"/>
                    </w:rPr>
                  </w:pPr>
                </w:p>
              </w:tc>
              <w:tc>
                <w:tcPr>
                  <w:tcW w:w="1943" w:type="dxa"/>
                  <w:gridSpan w:val="2"/>
                </w:tcPr>
                <w:p w14:paraId="441A006F" w14:textId="77777777" w:rsidR="00D5200E" w:rsidRPr="00760E1C" w:rsidRDefault="00D5200E" w:rsidP="00D5200E">
                  <w:pPr>
                    <w:jc w:val="center"/>
                    <w:rPr>
                      <w:sz w:val="28"/>
                      <w:szCs w:val="28"/>
                    </w:rPr>
                  </w:pPr>
                  <w:r w:rsidRPr="00760E1C">
                    <w:rPr>
                      <w:sz w:val="28"/>
                      <w:szCs w:val="28"/>
                    </w:rPr>
                    <w:t>Expected standard</w:t>
                  </w:r>
                </w:p>
              </w:tc>
              <w:tc>
                <w:tcPr>
                  <w:tcW w:w="1914" w:type="dxa"/>
                  <w:gridSpan w:val="2"/>
                </w:tcPr>
                <w:p w14:paraId="348F7E90" w14:textId="77777777" w:rsidR="00D5200E" w:rsidRPr="00760E1C" w:rsidRDefault="00D5200E" w:rsidP="00D5200E">
                  <w:pPr>
                    <w:jc w:val="center"/>
                    <w:rPr>
                      <w:sz w:val="28"/>
                      <w:szCs w:val="28"/>
                    </w:rPr>
                  </w:pPr>
                  <w:r w:rsidRPr="00760E1C">
                    <w:rPr>
                      <w:sz w:val="28"/>
                      <w:szCs w:val="28"/>
                    </w:rPr>
                    <w:t>Greater depth</w:t>
                  </w:r>
                </w:p>
              </w:tc>
            </w:tr>
            <w:tr w:rsidR="00D5200E" w:rsidRPr="00760E1C" w14:paraId="1931021D" w14:textId="77777777" w:rsidTr="00A62E63">
              <w:tc>
                <w:tcPr>
                  <w:tcW w:w="3514" w:type="dxa"/>
                </w:tcPr>
                <w:p w14:paraId="474B485A" w14:textId="77777777" w:rsidR="00D5200E" w:rsidRPr="00760E1C" w:rsidRDefault="00D5200E" w:rsidP="00D5200E">
                  <w:pPr>
                    <w:rPr>
                      <w:sz w:val="28"/>
                      <w:szCs w:val="28"/>
                    </w:rPr>
                  </w:pPr>
                </w:p>
              </w:tc>
              <w:tc>
                <w:tcPr>
                  <w:tcW w:w="846" w:type="dxa"/>
                </w:tcPr>
                <w:p w14:paraId="2E237EFC" w14:textId="77777777" w:rsidR="00D5200E" w:rsidRDefault="00D5200E" w:rsidP="00D5200E">
                  <w:r w:rsidRPr="00760E1C">
                    <w:t>Royd</w:t>
                  </w:r>
                </w:p>
                <w:p w14:paraId="22CB5EAB" w14:textId="77777777" w:rsidR="00D5200E" w:rsidRPr="00760E1C" w:rsidRDefault="00D5200E" w:rsidP="00D5200E">
                  <w:r>
                    <w:t>23/24</w:t>
                  </w:r>
                </w:p>
              </w:tc>
              <w:tc>
                <w:tcPr>
                  <w:tcW w:w="1097" w:type="dxa"/>
                </w:tcPr>
                <w:p w14:paraId="6EFB86C8" w14:textId="77777777" w:rsidR="00D5200E" w:rsidRDefault="00D5200E" w:rsidP="00D5200E">
                  <w:r w:rsidRPr="00760E1C">
                    <w:t>National</w:t>
                  </w:r>
                </w:p>
                <w:p w14:paraId="426E9D7E" w14:textId="77777777" w:rsidR="00D5200E" w:rsidRPr="00760E1C" w:rsidRDefault="00D5200E" w:rsidP="00D5200E">
                  <w:r>
                    <w:t>22/23</w:t>
                  </w:r>
                </w:p>
              </w:tc>
              <w:tc>
                <w:tcPr>
                  <w:tcW w:w="817" w:type="dxa"/>
                </w:tcPr>
                <w:p w14:paraId="289CC7E9" w14:textId="77777777" w:rsidR="00D5200E" w:rsidRDefault="00D5200E" w:rsidP="00D5200E">
                  <w:r w:rsidRPr="00760E1C">
                    <w:t>Royd</w:t>
                  </w:r>
                </w:p>
                <w:p w14:paraId="21AE0705" w14:textId="77777777" w:rsidR="00D5200E" w:rsidRPr="00760E1C" w:rsidRDefault="00D5200E" w:rsidP="00D5200E">
                  <w:r>
                    <w:t>23/24</w:t>
                  </w:r>
                </w:p>
              </w:tc>
              <w:tc>
                <w:tcPr>
                  <w:tcW w:w="1097" w:type="dxa"/>
                </w:tcPr>
                <w:p w14:paraId="2C500856" w14:textId="77777777" w:rsidR="00D5200E" w:rsidRDefault="00D5200E" w:rsidP="00D5200E">
                  <w:r w:rsidRPr="00760E1C">
                    <w:t>National</w:t>
                  </w:r>
                </w:p>
                <w:p w14:paraId="155C8397" w14:textId="77777777" w:rsidR="00D5200E" w:rsidRPr="00760E1C" w:rsidRDefault="00D5200E" w:rsidP="00D5200E">
                  <w:r>
                    <w:t>22/23</w:t>
                  </w:r>
                </w:p>
              </w:tc>
            </w:tr>
            <w:tr w:rsidR="00D5200E" w:rsidRPr="00760E1C" w14:paraId="089C4281" w14:textId="77777777" w:rsidTr="00A62E63">
              <w:tc>
                <w:tcPr>
                  <w:tcW w:w="3514" w:type="dxa"/>
                </w:tcPr>
                <w:p w14:paraId="082AC63D" w14:textId="77777777" w:rsidR="00D5200E" w:rsidRPr="00760E1C" w:rsidRDefault="00D5200E" w:rsidP="00D5200E">
                  <w:pPr>
                    <w:rPr>
                      <w:sz w:val="28"/>
                      <w:szCs w:val="28"/>
                    </w:rPr>
                  </w:pPr>
                  <w:r>
                    <w:rPr>
                      <w:sz w:val="28"/>
                      <w:szCs w:val="28"/>
                    </w:rPr>
                    <w:t>Disadvantaged (12 pupils)</w:t>
                  </w:r>
                </w:p>
              </w:tc>
              <w:tc>
                <w:tcPr>
                  <w:tcW w:w="846" w:type="dxa"/>
                </w:tcPr>
                <w:p w14:paraId="6C03D25F" w14:textId="7B07E051" w:rsidR="00D5200E" w:rsidRPr="00D5200E" w:rsidRDefault="00D5200E" w:rsidP="00D5200E">
                  <w:pPr>
                    <w:rPr>
                      <w:color w:val="000000" w:themeColor="text1"/>
                      <w:sz w:val="28"/>
                      <w:szCs w:val="28"/>
                    </w:rPr>
                  </w:pPr>
                  <w:r>
                    <w:rPr>
                      <w:color w:val="000000" w:themeColor="text1"/>
                      <w:sz w:val="28"/>
                      <w:szCs w:val="28"/>
                    </w:rPr>
                    <w:t>58%</w:t>
                  </w:r>
                </w:p>
              </w:tc>
              <w:tc>
                <w:tcPr>
                  <w:tcW w:w="1097" w:type="dxa"/>
                </w:tcPr>
                <w:p w14:paraId="69AA79E6" w14:textId="342F0538" w:rsidR="00D5200E" w:rsidRPr="00D5200E" w:rsidRDefault="00D5200E" w:rsidP="00D5200E">
                  <w:pPr>
                    <w:rPr>
                      <w:color w:val="000000" w:themeColor="text1"/>
                      <w:sz w:val="28"/>
                      <w:szCs w:val="28"/>
                    </w:rPr>
                  </w:pPr>
                  <w:r>
                    <w:rPr>
                      <w:color w:val="000000" w:themeColor="text1"/>
                      <w:sz w:val="28"/>
                      <w:szCs w:val="28"/>
                    </w:rPr>
                    <w:t>44%</w:t>
                  </w:r>
                </w:p>
              </w:tc>
              <w:tc>
                <w:tcPr>
                  <w:tcW w:w="817" w:type="dxa"/>
                </w:tcPr>
                <w:p w14:paraId="4C136244" w14:textId="4E6F0C80" w:rsidR="00D5200E" w:rsidRPr="00D5200E" w:rsidRDefault="00D5200E" w:rsidP="00D5200E">
                  <w:pPr>
                    <w:rPr>
                      <w:color w:val="000000" w:themeColor="text1"/>
                      <w:sz w:val="28"/>
                      <w:szCs w:val="28"/>
                    </w:rPr>
                  </w:pPr>
                  <w:r>
                    <w:rPr>
                      <w:color w:val="000000" w:themeColor="text1"/>
                      <w:sz w:val="28"/>
                      <w:szCs w:val="28"/>
                    </w:rPr>
                    <w:t>8%</w:t>
                  </w:r>
                </w:p>
              </w:tc>
              <w:tc>
                <w:tcPr>
                  <w:tcW w:w="1097" w:type="dxa"/>
                </w:tcPr>
                <w:p w14:paraId="1EADB242" w14:textId="4CC0A4D6" w:rsidR="00D5200E" w:rsidRPr="00D5200E" w:rsidRDefault="00D5200E" w:rsidP="00D5200E">
                  <w:pPr>
                    <w:rPr>
                      <w:color w:val="000000" w:themeColor="text1"/>
                      <w:sz w:val="28"/>
                      <w:szCs w:val="28"/>
                    </w:rPr>
                  </w:pPr>
                  <w:r>
                    <w:rPr>
                      <w:color w:val="000000" w:themeColor="text1"/>
                      <w:sz w:val="28"/>
                      <w:szCs w:val="28"/>
                    </w:rPr>
                    <w:t>3%</w:t>
                  </w:r>
                </w:p>
              </w:tc>
            </w:tr>
          </w:tbl>
          <w:p w14:paraId="4A8F300F" w14:textId="77777777" w:rsidR="00081283" w:rsidRPr="00962FC4" w:rsidRDefault="00081283" w:rsidP="00A62E63">
            <w:pPr>
              <w:pStyle w:val="TableRowCentered"/>
              <w:jc w:val="left"/>
              <w:rPr>
                <w:rFonts w:cs="Arial"/>
                <w:color w:val="FF0000"/>
              </w:rPr>
            </w:pPr>
          </w:p>
          <w:p w14:paraId="72339E6A" w14:textId="36B8DDB9" w:rsidR="00081283" w:rsidRPr="00E27862" w:rsidRDefault="00081283" w:rsidP="00923840">
            <w:pPr>
              <w:pStyle w:val="TableRowCentered"/>
              <w:jc w:val="left"/>
              <w:rPr>
                <w:rFonts w:cs="Arial"/>
                <w:color w:val="auto"/>
              </w:rPr>
            </w:pPr>
            <w:r w:rsidRPr="00923840">
              <w:rPr>
                <w:rFonts w:cs="Arial"/>
                <w:color w:val="000000" w:themeColor="text1"/>
              </w:rPr>
              <w:t xml:space="preserve">Writing attainment among disadvantaged pupils has </w:t>
            </w:r>
            <w:r w:rsidR="00923840">
              <w:rPr>
                <w:rFonts w:cs="Arial"/>
                <w:color w:val="000000" w:themeColor="text1"/>
              </w:rPr>
              <w:t>increased from 37.5% in 2021/22, 40% in 2022/23 and 58% in 2023/24.</w:t>
            </w:r>
            <w:r w:rsidRPr="00923840">
              <w:rPr>
                <w:rFonts w:cs="Arial"/>
                <w:color w:val="000000" w:themeColor="text1"/>
              </w:rPr>
              <w:t xml:space="preserve"> Pupil premium funding and recovery premium funding that has enabled interventions such as Lexia and RWI 1:1 have had a sound impact in children’s writing attainment (reading develops prior to writing). Furthermore, additional gap teaching opportunities have been provided to some pupils.  </w:t>
            </w:r>
          </w:p>
        </w:tc>
      </w:tr>
      <w:tr w:rsidR="00081283" w14:paraId="4BD439C8" w14:textId="77777777" w:rsidTr="00A62E63">
        <w:tc>
          <w:tcPr>
            <w:tcW w:w="73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6D9F24" w14:textId="77777777" w:rsidR="00081283" w:rsidRDefault="00081283" w:rsidP="00A62E63">
            <w:pPr>
              <w:pStyle w:val="TableRow"/>
              <w:rPr>
                <w:sz w:val="22"/>
                <w:szCs w:val="22"/>
              </w:rPr>
            </w:pPr>
            <w:r w:rsidRPr="00E27862">
              <w:rPr>
                <w:rFonts w:cs="Arial"/>
                <w:color w:val="auto"/>
              </w:rPr>
              <w:t>Improved maths attainment for disadvantaged pupils at the end of KS</w:t>
            </w:r>
            <w:r>
              <w:rPr>
                <w:rFonts w:cs="Arial"/>
                <w:color w:val="auto"/>
              </w:rPr>
              <w:t>1</w:t>
            </w:r>
            <w:r w:rsidRPr="00E27862">
              <w:rPr>
                <w:rFonts w:cs="Arial"/>
                <w:color w:val="auto"/>
              </w:rPr>
              <w:t xml:space="preserve">. </w:t>
            </w:r>
          </w:p>
        </w:tc>
        <w:tc>
          <w:tcPr>
            <w:tcW w:w="71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5ED924" w14:textId="46B63A32" w:rsidR="00D5200E" w:rsidRPr="00760E1C" w:rsidRDefault="00D5200E" w:rsidP="00D5200E">
            <w:pPr>
              <w:rPr>
                <w:b/>
              </w:rPr>
            </w:pPr>
            <w:r>
              <w:rPr>
                <w:b/>
              </w:rPr>
              <w:t>Maths</w:t>
            </w:r>
          </w:p>
          <w:tbl>
            <w:tblPr>
              <w:tblStyle w:val="TableGrid"/>
              <w:tblW w:w="7371" w:type="dxa"/>
              <w:tblLook w:val="04A0" w:firstRow="1" w:lastRow="0" w:firstColumn="1" w:lastColumn="0" w:noHBand="0" w:noVBand="1"/>
            </w:tblPr>
            <w:tblGrid>
              <w:gridCol w:w="3514"/>
              <w:gridCol w:w="846"/>
              <w:gridCol w:w="1097"/>
              <w:gridCol w:w="817"/>
              <w:gridCol w:w="1097"/>
            </w:tblGrid>
            <w:tr w:rsidR="00D5200E" w:rsidRPr="00760E1C" w14:paraId="15F14500" w14:textId="77777777" w:rsidTr="00A62E63">
              <w:tc>
                <w:tcPr>
                  <w:tcW w:w="3514" w:type="dxa"/>
                </w:tcPr>
                <w:p w14:paraId="3DBD1EEF" w14:textId="77777777" w:rsidR="00D5200E" w:rsidRPr="00760E1C" w:rsidRDefault="00D5200E" w:rsidP="00D5200E">
                  <w:pPr>
                    <w:jc w:val="center"/>
                    <w:rPr>
                      <w:sz w:val="28"/>
                      <w:szCs w:val="28"/>
                    </w:rPr>
                  </w:pPr>
                </w:p>
              </w:tc>
              <w:tc>
                <w:tcPr>
                  <w:tcW w:w="1943" w:type="dxa"/>
                  <w:gridSpan w:val="2"/>
                </w:tcPr>
                <w:p w14:paraId="1B587D09" w14:textId="77777777" w:rsidR="00D5200E" w:rsidRPr="00760E1C" w:rsidRDefault="00D5200E" w:rsidP="00D5200E">
                  <w:pPr>
                    <w:jc w:val="center"/>
                    <w:rPr>
                      <w:sz w:val="28"/>
                      <w:szCs w:val="28"/>
                    </w:rPr>
                  </w:pPr>
                  <w:r w:rsidRPr="00760E1C">
                    <w:rPr>
                      <w:sz w:val="28"/>
                      <w:szCs w:val="28"/>
                    </w:rPr>
                    <w:t>Expected standard</w:t>
                  </w:r>
                </w:p>
              </w:tc>
              <w:tc>
                <w:tcPr>
                  <w:tcW w:w="1914" w:type="dxa"/>
                  <w:gridSpan w:val="2"/>
                </w:tcPr>
                <w:p w14:paraId="2CC17D51" w14:textId="77777777" w:rsidR="00D5200E" w:rsidRPr="00760E1C" w:rsidRDefault="00D5200E" w:rsidP="00D5200E">
                  <w:pPr>
                    <w:jc w:val="center"/>
                    <w:rPr>
                      <w:sz w:val="28"/>
                      <w:szCs w:val="28"/>
                    </w:rPr>
                  </w:pPr>
                  <w:r w:rsidRPr="00760E1C">
                    <w:rPr>
                      <w:sz w:val="28"/>
                      <w:szCs w:val="28"/>
                    </w:rPr>
                    <w:t>Greater depth</w:t>
                  </w:r>
                </w:p>
              </w:tc>
            </w:tr>
            <w:tr w:rsidR="00D5200E" w:rsidRPr="00760E1C" w14:paraId="654EF89B" w14:textId="77777777" w:rsidTr="00A62E63">
              <w:tc>
                <w:tcPr>
                  <w:tcW w:w="3514" w:type="dxa"/>
                </w:tcPr>
                <w:p w14:paraId="63F0C9CB" w14:textId="77777777" w:rsidR="00D5200E" w:rsidRPr="00760E1C" w:rsidRDefault="00D5200E" w:rsidP="00D5200E">
                  <w:pPr>
                    <w:rPr>
                      <w:sz w:val="28"/>
                      <w:szCs w:val="28"/>
                    </w:rPr>
                  </w:pPr>
                </w:p>
              </w:tc>
              <w:tc>
                <w:tcPr>
                  <w:tcW w:w="846" w:type="dxa"/>
                </w:tcPr>
                <w:p w14:paraId="277A64D0" w14:textId="77777777" w:rsidR="00D5200E" w:rsidRDefault="00D5200E" w:rsidP="00D5200E">
                  <w:r w:rsidRPr="00760E1C">
                    <w:t>Royd</w:t>
                  </w:r>
                </w:p>
                <w:p w14:paraId="1D7A40E7" w14:textId="77777777" w:rsidR="00D5200E" w:rsidRPr="00760E1C" w:rsidRDefault="00D5200E" w:rsidP="00D5200E">
                  <w:r>
                    <w:t>23/24</w:t>
                  </w:r>
                </w:p>
              </w:tc>
              <w:tc>
                <w:tcPr>
                  <w:tcW w:w="1097" w:type="dxa"/>
                </w:tcPr>
                <w:p w14:paraId="7618A060" w14:textId="77777777" w:rsidR="00D5200E" w:rsidRDefault="00D5200E" w:rsidP="00D5200E">
                  <w:r w:rsidRPr="00760E1C">
                    <w:t>National</w:t>
                  </w:r>
                </w:p>
                <w:p w14:paraId="29CD8780" w14:textId="77777777" w:rsidR="00D5200E" w:rsidRPr="00760E1C" w:rsidRDefault="00D5200E" w:rsidP="00D5200E">
                  <w:r>
                    <w:t>22/23</w:t>
                  </w:r>
                </w:p>
              </w:tc>
              <w:tc>
                <w:tcPr>
                  <w:tcW w:w="817" w:type="dxa"/>
                </w:tcPr>
                <w:p w14:paraId="4CD40075" w14:textId="77777777" w:rsidR="00D5200E" w:rsidRDefault="00D5200E" w:rsidP="00D5200E">
                  <w:r w:rsidRPr="00760E1C">
                    <w:t>Royd</w:t>
                  </w:r>
                </w:p>
                <w:p w14:paraId="7C2262DD" w14:textId="77777777" w:rsidR="00D5200E" w:rsidRPr="00760E1C" w:rsidRDefault="00D5200E" w:rsidP="00D5200E">
                  <w:r>
                    <w:t>23/24</w:t>
                  </w:r>
                </w:p>
              </w:tc>
              <w:tc>
                <w:tcPr>
                  <w:tcW w:w="1097" w:type="dxa"/>
                </w:tcPr>
                <w:p w14:paraId="4E37BABC" w14:textId="77777777" w:rsidR="00D5200E" w:rsidRDefault="00D5200E" w:rsidP="00D5200E">
                  <w:r w:rsidRPr="00760E1C">
                    <w:t>National</w:t>
                  </w:r>
                </w:p>
                <w:p w14:paraId="4B03A147" w14:textId="77777777" w:rsidR="00D5200E" w:rsidRPr="00760E1C" w:rsidRDefault="00D5200E" w:rsidP="00D5200E">
                  <w:r>
                    <w:t>22/23</w:t>
                  </w:r>
                </w:p>
              </w:tc>
            </w:tr>
            <w:tr w:rsidR="00D5200E" w:rsidRPr="00760E1C" w14:paraId="0F26DDE6" w14:textId="77777777" w:rsidTr="00A62E63">
              <w:tc>
                <w:tcPr>
                  <w:tcW w:w="3514" w:type="dxa"/>
                </w:tcPr>
                <w:p w14:paraId="21A44E04" w14:textId="77777777" w:rsidR="00D5200E" w:rsidRPr="00760E1C" w:rsidRDefault="00D5200E" w:rsidP="00D5200E">
                  <w:pPr>
                    <w:rPr>
                      <w:sz w:val="28"/>
                      <w:szCs w:val="28"/>
                    </w:rPr>
                  </w:pPr>
                  <w:r>
                    <w:rPr>
                      <w:sz w:val="28"/>
                      <w:szCs w:val="28"/>
                    </w:rPr>
                    <w:t>Disadvantaged (12 pupils)</w:t>
                  </w:r>
                </w:p>
              </w:tc>
              <w:tc>
                <w:tcPr>
                  <w:tcW w:w="846" w:type="dxa"/>
                </w:tcPr>
                <w:p w14:paraId="3751C506" w14:textId="4C9FE2AD" w:rsidR="00D5200E" w:rsidRPr="00D5200E" w:rsidRDefault="00D5200E" w:rsidP="00D5200E">
                  <w:pPr>
                    <w:rPr>
                      <w:color w:val="000000" w:themeColor="text1"/>
                      <w:sz w:val="28"/>
                      <w:szCs w:val="28"/>
                    </w:rPr>
                  </w:pPr>
                  <w:r>
                    <w:rPr>
                      <w:color w:val="000000" w:themeColor="text1"/>
                      <w:sz w:val="28"/>
                      <w:szCs w:val="28"/>
                    </w:rPr>
                    <w:t>42%</w:t>
                  </w:r>
                </w:p>
              </w:tc>
              <w:tc>
                <w:tcPr>
                  <w:tcW w:w="1097" w:type="dxa"/>
                </w:tcPr>
                <w:p w14:paraId="57003B4A" w14:textId="36310477" w:rsidR="00D5200E" w:rsidRPr="00D5200E" w:rsidRDefault="00D5200E" w:rsidP="00D5200E">
                  <w:pPr>
                    <w:rPr>
                      <w:color w:val="000000" w:themeColor="text1"/>
                      <w:sz w:val="28"/>
                      <w:szCs w:val="28"/>
                    </w:rPr>
                  </w:pPr>
                  <w:r>
                    <w:rPr>
                      <w:color w:val="000000" w:themeColor="text1"/>
                      <w:sz w:val="28"/>
                      <w:szCs w:val="28"/>
                    </w:rPr>
                    <w:t>56%</w:t>
                  </w:r>
                </w:p>
              </w:tc>
              <w:tc>
                <w:tcPr>
                  <w:tcW w:w="817" w:type="dxa"/>
                </w:tcPr>
                <w:p w14:paraId="3EEF63FE" w14:textId="332DE0F6" w:rsidR="00D5200E" w:rsidRPr="00D5200E" w:rsidRDefault="00D5200E" w:rsidP="00D5200E">
                  <w:pPr>
                    <w:rPr>
                      <w:color w:val="000000" w:themeColor="text1"/>
                      <w:sz w:val="28"/>
                      <w:szCs w:val="28"/>
                    </w:rPr>
                  </w:pPr>
                  <w:r>
                    <w:rPr>
                      <w:color w:val="000000" w:themeColor="text1"/>
                      <w:sz w:val="28"/>
                      <w:szCs w:val="28"/>
                    </w:rPr>
                    <w:t>8%</w:t>
                  </w:r>
                </w:p>
              </w:tc>
              <w:tc>
                <w:tcPr>
                  <w:tcW w:w="1097" w:type="dxa"/>
                </w:tcPr>
                <w:p w14:paraId="00DBE683" w14:textId="32F0CB05" w:rsidR="00D5200E" w:rsidRPr="00D5200E" w:rsidRDefault="00D5200E" w:rsidP="00D5200E">
                  <w:pPr>
                    <w:rPr>
                      <w:color w:val="000000" w:themeColor="text1"/>
                      <w:sz w:val="28"/>
                      <w:szCs w:val="28"/>
                    </w:rPr>
                  </w:pPr>
                  <w:r>
                    <w:rPr>
                      <w:color w:val="000000" w:themeColor="text1"/>
                      <w:sz w:val="28"/>
                      <w:szCs w:val="28"/>
                    </w:rPr>
                    <w:t>8%</w:t>
                  </w:r>
                </w:p>
              </w:tc>
            </w:tr>
          </w:tbl>
          <w:p w14:paraId="4AD61A21" w14:textId="77777777" w:rsidR="00081283" w:rsidRPr="00962FC4" w:rsidRDefault="00081283" w:rsidP="00A62E63">
            <w:pPr>
              <w:pStyle w:val="TableRowCentered"/>
              <w:jc w:val="left"/>
              <w:rPr>
                <w:rFonts w:cs="Arial"/>
                <w:color w:val="FF0000"/>
              </w:rPr>
            </w:pPr>
          </w:p>
          <w:p w14:paraId="26EC54B6" w14:textId="790E6B7A" w:rsidR="00A62E63" w:rsidRPr="00A62E63" w:rsidRDefault="00081283" w:rsidP="00A62E63">
            <w:pPr>
              <w:rPr>
                <w:color w:val="000000" w:themeColor="text1"/>
              </w:rPr>
            </w:pPr>
            <w:r w:rsidRPr="00A62E63">
              <w:rPr>
                <w:rFonts w:cs="Arial"/>
                <w:color w:val="000000" w:themeColor="text1"/>
              </w:rPr>
              <w:t>4 children attended 1</w:t>
            </w:r>
            <w:r w:rsidRPr="00A62E63">
              <w:rPr>
                <w:rFonts w:cs="Arial"/>
                <w:color w:val="000000" w:themeColor="text1"/>
                <w:vertAlign w:val="superscript"/>
              </w:rPr>
              <w:t>st</w:t>
            </w:r>
            <w:r w:rsidRPr="00A62E63">
              <w:rPr>
                <w:rFonts w:cs="Arial"/>
                <w:color w:val="000000" w:themeColor="text1"/>
              </w:rPr>
              <w:t xml:space="preserve"> cla</w:t>
            </w:r>
            <w:r w:rsidR="00A62E63" w:rsidRPr="00A62E63">
              <w:rPr>
                <w:rFonts w:cs="Arial"/>
                <w:color w:val="000000" w:themeColor="text1"/>
              </w:rPr>
              <w:t>ss at number boosters delivered</w:t>
            </w:r>
            <w:r w:rsidRPr="00A62E63">
              <w:rPr>
                <w:rFonts w:cs="Arial"/>
                <w:color w:val="000000" w:themeColor="text1"/>
              </w:rPr>
              <w:t xml:space="preserve">. The intervention was delivered 4 X 30 minutes per week and lasted </w:t>
            </w:r>
            <w:r w:rsidR="00A62E63" w:rsidRPr="00A62E63">
              <w:rPr>
                <w:rFonts w:cs="Arial"/>
                <w:color w:val="000000" w:themeColor="text1"/>
              </w:rPr>
              <w:t>2</w:t>
            </w:r>
            <w:r w:rsidRPr="00A62E63">
              <w:rPr>
                <w:rFonts w:cs="Arial"/>
                <w:color w:val="000000" w:themeColor="text1"/>
              </w:rPr>
              <w:t xml:space="preserve"> weeks. The progress made by the children was as follows: </w:t>
            </w:r>
            <w:r w:rsidR="00A62E63" w:rsidRPr="00A62E63">
              <w:rPr>
                <w:color w:val="000000" w:themeColor="text1"/>
              </w:rPr>
              <w:t xml:space="preserve">Average progress 39 months / 4 children = 9.75 months </w:t>
            </w:r>
          </w:p>
          <w:p w14:paraId="12B53C08" w14:textId="3FEF7615" w:rsidR="00081283" w:rsidRPr="00A62E63" w:rsidRDefault="00081283" w:rsidP="00A62E63">
            <w:pPr>
              <w:rPr>
                <w:color w:val="000000" w:themeColor="text1"/>
              </w:rPr>
            </w:pPr>
            <w:r w:rsidRPr="00A62E63">
              <w:rPr>
                <w:rFonts w:cs="Arial"/>
                <w:color w:val="000000" w:themeColor="text1"/>
              </w:rPr>
              <w:t>Due t</w:t>
            </w:r>
            <w:r w:rsidR="00A62E63" w:rsidRPr="00A62E63">
              <w:rPr>
                <w:rFonts w:cs="Arial"/>
                <w:color w:val="000000" w:themeColor="text1"/>
              </w:rPr>
              <w:t>o the intervention running 2</w:t>
            </w:r>
            <w:r w:rsidRPr="00A62E63">
              <w:rPr>
                <w:rFonts w:cs="Arial"/>
                <w:color w:val="000000" w:themeColor="text1"/>
              </w:rPr>
              <w:t xml:space="preserve"> month</w:t>
            </w:r>
            <w:r w:rsidR="00A62E63" w:rsidRPr="00A62E63">
              <w:rPr>
                <w:rFonts w:cs="Arial"/>
                <w:color w:val="000000" w:themeColor="text1"/>
              </w:rPr>
              <w:t>s</w:t>
            </w:r>
            <w:r w:rsidRPr="00A62E63">
              <w:rPr>
                <w:rFonts w:cs="Arial"/>
                <w:color w:val="000000" w:themeColor="text1"/>
              </w:rPr>
              <w:t xml:space="preserve"> anything more than </w:t>
            </w:r>
            <w:r w:rsidR="00A62E63" w:rsidRPr="00A62E63">
              <w:rPr>
                <w:rFonts w:cs="Arial"/>
                <w:color w:val="000000" w:themeColor="text1"/>
              </w:rPr>
              <w:t>2</w:t>
            </w:r>
            <w:r w:rsidRPr="00A62E63">
              <w:rPr>
                <w:rFonts w:cs="Arial"/>
                <w:color w:val="000000" w:themeColor="text1"/>
              </w:rPr>
              <w:t xml:space="preserve"> months progress is expected as strong. This showcases that children made more than expected progress. </w:t>
            </w:r>
          </w:p>
          <w:p w14:paraId="4DCCC2CA" w14:textId="77777777" w:rsidR="00081283" w:rsidRPr="00962FC4" w:rsidRDefault="00081283" w:rsidP="00A62E63">
            <w:pPr>
              <w:pStyle w:val="TableRowCentered"/>
              <w:ind w:left="0"/>
              <w:jc w:val="left"/>
              <w:rPr>
                <w:rFonts w:cs="Arial"/>
                <w:color w:val="FF0000"/>
              </w:rPr>
            </w:pPr>
          </w:p>
          <w:p w14:paraId="256A75A5" w14:textId="3F69E36C" w:rsidR="00081283" w:rsidRPr="00BF1BDF" w:rsidRDefault="00081283" w:rsidP="00A62E63">
            <w:pPr>
              <w:pStyle w:val="TableRowCentered"/>
              <w:spacing w:after="120"/>
              <w:jc w:val="left"/>
              <w:rPr>
                <w:rFonts w:cs="Arial"/>
                <w:color w:val="000000" w:themeColor="text1"/>
              </w:rPr>
            </w:pPr>
            <w:r w:rsidRPr="00BF1BDF">
              <w:rPr>
                <w:rFonts w:cs="Arial"/>
                <w:color w:val="000000" w:themeColor="text1"/>
              </w:rPr>
              <w:t>Maths attainment among disadvantaged pupils decreased from 50% in 2021/22 to 40% in 2022/23.</w:t>
            </w:r>
            <w:r w:rsidR="00BF1BDF" w:rsidRPr="00BF1BDF">
              <w:rPr>
                <w:rFonts w:cs="Arial"/>
                <w:color w:val="000000" w:themeColor="text1"/>
              </w:rPr>
              <w:t xml:space="preserve"> However in 2023/24 it has increased to 42%.</w:t>
            </w:r>
            <w:r w:rsidRPr="00BF1BDF">
              <w:rPr>
                <w:rFonts w:cs="Arial"/>
                <w:color w:val="000000" w:themeColor="text1"/>
              </w:rPr>
              <w:t xml:space="preserve"> </w:t>
            </w:r>
            <w:r w:rsidR="00BF1BDF" w:rsidRPr="00BF1BDF">
              <w:rPr>
                <w:rFonts w:cs="Arial"/>
                <w:color w:val="000000" w:themeColor="text1"/>
              </w:rPr>
              <w:t>Intervention was</w:t>
            </w:r>
            <w:r w:rsidRPr="00BF1BDF">
              <w:rPr>
                <w:rFonts w:cs="Arial"/>
                <w:color w:val="000000" w:themeColor="text1"/>
              </w:rPr>
              <w:t xml:space="preserve"> utilised to provide targeted support to pupils through the use of 1</w:t>
            </w:r>
            <w:r w:rsidRPr="00BF1BDF">
              <w:rPr>
                <w:rFonts w:cs="Arial"/>
                <w:color w:val="000000" w:themeColor="text1"/>
                <w:vertAlign w:val="superscript"/>
              </w:rPr>
              <w:t>st</w:t>
            </w:r>
            <w:r w:rsidRPr="00BF1BDF">
              <w:rPr>
                <w:rFonts w:cs="Arial"/>
                <w:color w:val="000000" w:themeColor="text1"/>
              </w:rPr>
              <w:t xml:space="preserve"> class at number. A greater allocation of pupil premium funding will be assigned to delivering 1</w:t>
            </w:r>
            <w:r w:rsidRPr="00BF1BDF">
              <w:rPr>
                <w:rFonts w:cs="Arial"/>
                <w:color w:val="000000" w:themeColor="text1"/>
                <w:vertAlign w:val="superscript"/>
              </w:rPr>
              <w:t>st</w:t>
            </w:r>
            <w:r w:rsidRPr="00BF1BDF">
              <w:rPr>
                <w:rFonts w:cs="Arial"/>
                <w:color w:val="000000" w:themeColor="text1"/>
              </w:rPr>
              <w:t xml:space="preserve"> class at number. </w:t>
            </w:r>
          </w:p>
          <w:p w14:paraId="002FFB9C" w14:textId="77777777" w:rsidR="00081283" w:rsidRPr="00962FC4" w:rsidRDefault="00081283" w:rsidP="00A62E63">
            <w:pPr>
              <w:pStyle w:val="TableRowCentered"/>
              <w:spacing w:after="120"/>
              <w:ind w:left="0"/>
              <w:jc w:val="left"/>
              <w:rPr>
                <w:color w:val="FF0000"/>
                <w:sz w:val="22"/>
                <w:szCs w:val="22"/>
              </w:rPr>
            </w:pPr>
          </w:p>
        </w:tc>
      </w:tr>
      <w:tr w:rsidR="00081283" w14:paraId="308CB3BD" w14:textId="77777777" w:rsidTr="00A62E63">
        <w:tc>
          <w:tcPr>
            <w:tcW w:w="73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B98AA5" w14:textId="77777777" w:rsidR="00081283" w:rsidRDefault="00081283" w:rsidP="00A62E63">
            <w:pPr>
              <w:pStyle w:val="TableRow"/>
              <w:rPr>
                <w:sz w:val="22"/>
                <w:szCs w:val="22"/>
              </w:rPr>
            </w:pPr>
            <w:r w:rsidRPr="00E27862">
              <w:rPr>
                <w:rFonts w:cs="Arial"/>
                <w:color w:val="auto"/>
              </w:rPr>
              <w:t xml:space="preserve">To achieve and sustain improved </w:t>
            </w:r>
            <w:r>
              <w:rPr>
                <w:rFonts w:cs="Arial"/>
                <w:color w:val="auto"/>
              </w:rPr>
              <w:t>s</w:t>
            </w:r>
            <w:r>
              <w:rPr>
                <w:rFonts w:cs="Arial"/>
              </w:rPr>
              <w:t>ocial and emotional (w</w:t>
            </w:r>
            <w:r w:rsidRPr="00E27862">
              <w:rPr>
                <w:rFonts w:cs="Arial"/>
                <w:color w:val="auto"/>
              </w:rPr>
              <w:t>ell</w:t>
            </w:r>
            <w:r>
              <w:rPr>
                <w:rFonts w:cs="Arial"/>
                <w:color w:val="auto"/>
              </w:rPr>
              <w:t>being) needs</w:t>
            </w:r>
            <w:r w:rsidRPr="00E27862">
              <w:rPr>
                <w:rFonts w:cs="Arial"/>
                <w:color w:val="auto"/>
              </w:rPr>
              <w:t xml:space="preserve"> for all pupils in our school, particularly our disadvantaged pupils.</w:t>
            </w:r>
          </w:p>
        </w:tc>
        <w:tc>
          <w:tcPr>
            <w:tcW w:w="71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08ADC4" w14:textId="5A98E3D7" w:rsidR="00081283" w:rsidRPr="00F144FC" w:rsidRDefault="00081283" w:rsidP="00A62E63">
            <w:pPr>
              <w:pStyle w:val="TableRowCentered"/>
              <w:jc w:val="left"/>
              <w:rPr>
                <w:rFonts w:cs="Arial"/>
                <w:color w:val="000000" w:themeColor="text1"/>
              </w:rPr>
            </w:pPr>
            <w:r w:rsidRPr="00F144FC">
              <w:rPr>
                <w:rFonts w:cs="Arial"/>
                <w:color w:val="000000" w:themeColor="text1"/>
              </w:rPr>
              <w:t>The table below displays disadvantaged pupils average wellbeing scores at the start and end of the 202</w:t>
            </w:r>
            <w:r w:rsidR="00BF1BDF" w:rsidRPr="00F144FC">
              <w:rPr>
                <w:rFonts w:cs="Arial"/>
                <w:color w:val="000000" w:themeColor="text1"/>
              </w:rPr>
              <w:t>3/24</w:t>
            </w:r>
            <w:r w:rsidRPr="00F144FC">
              <w:rPr>
                <w:rFonts w:cs="Arial"/>
                <w:color w:val="000000" w:themeColor="text1"/>
              </w:rPr>
              <w:t xml:space="preserve"> academic year using the Leuven Scale. Level 1 – Extremely Low. Level 2 – Low. Level 3 – Moderate. Level 4 – High. Level 5 – Extremely High. </w:t>
            </w:r>
          </w:p>
          <w:p w14:paraId="2BFEF92B" w14:textId="77777777" w:rsidR="00081283" w:rsidRPr="00F144FC" w:rsidRDefault="00081283" w:rsidP="00A62E63">
            <w:pPr>
              <w:pStyle w:val="TableRowCentered"/>
              <w:jc w:val="left"/>
              <w:rPr>
                <w:rFonts w:cs="Arial"/>
                <w:color w:val="000000" w:themeColor="text1"/>
              </w:rPr>
            </w:pPr>
          </w:p>
          <w:tbl>
            <w:tblPr>
              <w:tblStyle w:val="TableGrid"/>
              <w:tblW w:w="0" w:type="auto"/>
              <w:tblInd w:w="57" w:type="dxa"/>
              <w:tblLook w:val="04A0" w:firstRow="1" w:lastRow="0" w:firstColumn="1" w:lastColumn="0" w:noHBand="0" w:noVBand="1"/>
            </w:tblPr>
            <w:tblGrid>
              <w:gridCol w:w="2314"/>
              <w:gridCol w:w="2314"/>
              <w:gridCol w:w="2315"/>
            </w:tblGrid>
            <w:tr w:rsidR="00F144FC" w:rsidRPr="00F144FC" w14:paraId="6220080A" w14:textId="77777777" w:rsidTr="00A62E63">
              <w:tc>
                <w:tcPr>
                  <w:tcW w:w="2314" w:type="dxa"/>
                </w:tcPr>
                <w:p w14:paraId="6FA9AC9A" w14:textId="77777777" w:rsidR="00081283" w:rsidRPr="00F144FC" w:rsidRDefault="00081283" w:rsidP="00A62E63">
                  <w:pPr>
                    <w:pStyle w:val="TableRowCentered"/>
                    <w:ind w:left="0"/>
                    <w:jc w:val="left"/>
                    <w:rPr>
                      <w:rFonts w:cs="Arial"/>
                      <w:color w:val="000000" w:themeColor="text1"/>
                    </w:rPr>
                  </w:pPr>
                </w:p>
              </w:tc>
              <w:tc>
                <w:tcPr>
                  <w:tcW w:w="2314" w:type="dxa"/>
                </w:tcPr>
                <w:p w14:paraId="5B4F82CF" w14:textId="7B43977A" w:rsidR="00081283" w:rsidRPr="00F144FC" w:rsidRDefault="00081283" w:rsidP="00BF1BDF">
                  <w:pPr>
                    <w:pStyle w:val="TableRowCentered"/>
                    <w:ind w:left="0"/>
                    <w:jc w:val="left"/>
                    <w:rPr>
                      <w:rFonts w:cs="Arial"/>
                      <w:color w:val="000000" w:themeColor="text1"/>
                    </w:rPr>
                  </w:pPr>
                  <w:r w:rsidRPr="00F144FC">
                    <w:rPr>
                      <w:rFonts w:cs="Arial"/>
                      <w:color w:val="000000" w:themeColor="text1"/>
                    </w:rPr>
                    <w:t>On entry 202</w:t>
                  </w:r>
                  <w:r w:rsidR="00BF1BDF" w:rsidRPr="00F144FC">
                    <w:rPr>
                      <w:rFonts w:cs="Arial"/>
                      <w:color w:val="000000" w:themeColor="text1"/>
                    </w:rPr>
                    <w:t>3</w:t>
                  </w:r>
                  <w:r w:rsidRPr="00F144FC">
                    <w:rPr>
                      <w:rFonts w:cs="Arial"/>
                      <w:color w:val="000000" w:themeColor="text1"/>
                    </w:rPr>
                    <w:t>/2</w:t>
                  </w:r>
                  <w:r w:rsidR="00BF1BDF" w:rsidRPr="00F144FC">
                    <w:rPr>
                      <w:rFonts w:cs="Arial"/>
                      <w:color w:val="000000" w:themeColor="text1"/>
                    </w:rPr>
                    <w:t>4</w:t>
                  </w:r>
                  <w:r w:rsidRPr="00F144FC">
                    <w:rPr>
                      <w:rFonts w:cs="Arial"/>
                      <w:color w:val="000000" w:themeColor="text1"/>
                    </w:rPr>
                    <w:t xml:space="preserve"> </w:t>
                  </w:r>
                </w:p>
              </w:tc>
              <w:tc>
                <w:tcPr>
                  <w:tcW w:w="2315" w:type="dxa"/>
                </w:tcPr>
                <w:p w14:paraId="145A2A93" w14:textId="046C2CE1" w:rsidR="00081283" w:rsidRPr="00F144FC" w:rsidRDefault="00081283" w:rsidP="00BF1BDF">
                  <w:pPr>
                    <w:pStyle w:val="TableRowCentered"/>
                    <w:ind w:left="0"/>
                    <w:jc w:val="left"/>
                    <w:rPr>
                      <w:rFonts w:cs="Arial"/>
                      <w:color w:val="000000" w:themeColor="text1"/>
                    </w:rPr>
                  </w:pPr>
                  <w:r w:rsidRPr="00F144FC">
                    <w:rPr>
                      <w:rFonts w:cs="Arial"/>
                      <w:color w:val="000000" w:themeColor="text1"/>
                    </w:rPr>
                    <w:t>Summer term 202</w:t>
                  </w:r>
                  <w:r w:rsidR="00BF1BDF" w:rsidRPr="00F144FC">
                    <w:rPr>
                      <w:rFonts w:cs="Arial"/>
                      <w:color w:val="000000" w:themeColor="text1"/>
                    </w:rPr>
                    <w:t>4</w:t>
                  </w:r>
                  <w:r w:rsidRPr="00F144FC">
                    <w:rPr>
                      <w:rFonts w:cs="Arial"/>
                      <w:color w:val="000000" w:themeColor="text1"/>
                    </w:rPr>
                    <w:t>/2</w:t>
                  </w:r>
                  <w:r w:rsidR="00BF1BDF" w:rsidRPr="00F144FC">
                    <w:rPr>
                      <w:rFonts w:cs="Arial"/>
                      <w:color w:val="000000" w:themeColor="text1"/>
                    </w:rPr>
                    <w:t>4</w:t>
                  </w:r>
                </w:p>
              </w:tc>
            </w:tr>
            <w:tr w:rsidR="00BF1BDF" w:rsidRPr="00F144FC" w14:paraId="51563C17" w14:textId="77777777" w:rsidTr="00A62E63">
              <w:tc>
                <w:tcPr>
                  <w:tcW w:w="2314" w:type="dxa"/>
                </w:tcPr>
                <w:p w14:paraId="32CDDFE5" w14:textId="4BDA9B39" w:rsidR="00BF1BDF" w:rsidRPr="00F144FC" w:rsidRDefault="00BF1BDF" w:rsidP="00A62E63">
                  <w:pPr>
                    <w:pStyle w:val="TableRowCentered"/>
                    <w:ind w:left="0"/>
                    <w:jc w:val="left"/>
                    <w:rPr>
                      <w:rFonts w:cs="Arial"/>
                      <w:color w:val="000000" w:themeColor="text1"/>
                    </w:rPr>
                  </w:pPr>
                  <w:r w:rsidRPr="00F144FC">
                    <w:rPr>
                      <w:rFonts w:cs="Arial"/>
                      <w:color w:val="000000" w:themeColor="text1"/>
                    </w:rPr>
                    <w:t>Reception</w:t>
                  </w:r>
                </w:p>
              </w:tc>
              <w:tc>
                <w:tcPr>
                  <w:tcW w:w="2314" w:type="dxa"/>
                </w:tcPr>
                <w:p w14:paraId="1F13268A" w14:textId="74436FC7" w:rsidR="00BF1BDF" w:rsidRPr="00F144FC" w:rsidRDefault="00BF1BDF" w:rsidP="00BF1BDF">
                  <w:pPr>
                    <w:pStyle w:val="TableRowCentered"/>
                    <w:ind w:left="0"/>
                    <w:jc w:val="left"/>
                    <w:rPr>
                      <w:rFonts w:cs="Arial"/>
                      <w:color w:val="000000" w:themeColor="text1"/>
                    </w:rPr>
                  </w:pPr>
                  <w:r w:rsidRPr="00F144FC">
                    <w:rPr>
                      <w:rFonts w:cs="Arial"/>
                      <w:color w:val="000000" w:themeColor="text1"/>
                    </w:rPr>
                    <w:t>3.9</w:t>
                  </w:r>
                </w:p>
              </w:tc>
              <w:tc>
                <w:tcPr>
                  <w:tcW w:w="2315" w:type="dxa"/>
                </w:tcPr>
                <w:p w14:paraId="3CBA4783" w14:textId="2F7ED230" w:rsidR="00BF1BDF" w:rsidRPr="00F144FC" w:rsidRDefault="00BF1BDF" w:rsidP="00BF1BDF">
                  <w:pPr>
                    <w:pStyle w:val="TableRowCentered"/>
                    <w:ind w:left="0"/>
                    <w:jc w:val="left"/>
                    <w:rPr>
                      <w:rFonts w:cs="Arial"/>
                      <w:color w:val="000000" w:themeColor="text1"/>
                    </w:rPr>
                  </w:pPr>
                  <w:r w:rsidRPr="00F144FC">
                    <w:rPr>
                      <w:rFonts w:cs="Arial"/>
                      <w:color w:val="000000" w:themeColor="text1"/>
                    </w:rPr>
                    <w:t>4.2</w:t>
                  </w:r>
                </w:p>
              </w:tc>
            </w:tr>
            <w:tr w:rsidR="00F144FC" w:rsidRPr="00F144FC" w14:paraId="6BB3AC16" w14:textId="77777777" w:rsidTr="00A62E63">
              <w:tc>
                <w:tcPr>
                  <w:tcW w:w="2314" w:type="dxa"/>
                </w:tcPr>
                <w:p w14:paraId="5B93B6A9" w14:textId="636BFDE8" w:rsidR="00081283" w:rsidRPr="00F144FC" w:rsidRDefault="00BF1BDF" w:rsidP="00A62E63">
                  <w:pPr>
                    <w:pStyle w:val="TableRowCentered"/>
                    <w:ind w:left="0"/>
                    <w:jc w:val="left"/>
                    <w:rPr>
                      <w:rFonts w:cs="Arial"/>
                      <w:color w:val="000000" w:themeColor="text1"/>
                    </w:rPr>
                  </w:pPr>
                  <w:r w:rsidRPr="00F144FC">
                    <w:rPr>
                      <w:rFonts w:cs="Arial"/>
                      <w:color w:val="000000" w:themeColor="text1"/>
                    </w:rPr>
                    <w:t>Year 1 (9</w:t>
                  </w:r>
                  <w:r w:rsidR="00081283" w:rsidRPr="00F144FC">
                    <w:rPr>
                      <w:rFonts w:cs="Arial"/>
                      <w:color w:val="000000" w:themeColor="text1"/>
                    </w:rPr>
                    <w:t xml:space="preserve"> children)</w:t>
                  </w:r>
                </w:p>
              </w:tc>
              <w:tc>
                <w:tcPr>
                  <w:tcW w:w="2314" w:type="dxa"/>
                </w:tcPr>
                <w:p w14:paraId="4CD35DAA" w14:textId="1A027298" w:rsidR="00081283" w:rsidRPr="00F144FC" w:rsidRDefault="00BF1BDF" w:rsidP="00A62E63">
                  <w:pPr>
                    <w:pStyle w:val="TableRowCentered"/>
                    <w:ind w:left="0"/>
                    <w:jc w:val="left"/>
                    <w:rPr>
                      <w:rFonts w:cs="Arial"/>
                      <w:color w:val="000000" w:themeColor="text1"/>
                    </w:rPr>
                  </w:pPr>
                  <w:r w:rsidRPr="00F144FC">
                    <w:rPr>
                      <w:rFonts w:cs="Arial"/>
                      <w:color w:val="000000" w:themeColor="text1"/>
                    </w:rPr>
                    <w:t>3.7</w:t>
                  </w:r>
                </w:p>
              </w:tc>
              <w:tc>
                <w:tcPr>
                  <w:tcW w:w="2315" w:type="dxa"/>
                </w:tcPr>
                <w:p w14:paraId="63BD2EA7" w14:textId="7C308E0B" w:rsidR="00081283" w:rsidRPr="00F144FC" w:rsidRDefault="00BF1BDF" w:rsidP="00A62E63">
                  <w:pPr>
                    <w:pStyle w:val="TableRowCentered"/>
                    <w:ind w:left="0"/>
                    <w:jc w:val="left"/>
                    <w:rPr>
                      <w:rFonts w:cs="Arial"/>
                      <w:color w:val="000000" w:themeColor="text1"/>
                    </w:rPr>
                  </w:pPr>
                  <w:r w:rsidRPr="00F144FC">
                    <w:rPr>
                      <w:rFonts w:cs="Arial"/>
                      <w:color w:val="000000" w:themeColor="text1"/>
                    </w:rPr>
                    <w:t>3.7</w:t>
                  </w:r>
                </w:p>
              </w:tc>
            </w:tr>
            <w:tr w:rsidR="00F144FC" w:rsidRPr="00F144FC" w14:paraId="623F9AE2" w14:textId="77777777" w:rsidTr="00A62E63">
              <w:tc>
                <w:tcPr>
                  <w:tcW w:w="2314" w:type="dxa"/>
                </w:tcPr>
                <w:p w14:paraId="66DDA5A7" w14:textId="3784C98E" w:rsidR="00081283" w:rsidRPr="00F144FC" w:rsidRDefault="00BF1BDF" w:rsidP="00A62E63">
                  <w:pPr>
                    <w:pStyle w:val="TableRowCentered"/>
                    <w:ind w:left="0"/>
                    <w:jc w:val="left"/>
                    <w:rPr>
                      <w:rFonts w:cs="Arial"/>
                      <w:color w:val="000000" w:themeColor="text1"/>
                    </w:rPr>
                  </w:pPr>
                  <w:r w:rsidRPr="00F144FC">
                    <w:rPr>
                      <w:rFonts w:cs="Arial"/>
                      <w:color w:val="000000" w:themeColor="text1"/>
                    </w:rPr>
                    <w:t>Year 2 (12</w:t>
                  </w:r>
                  <w:r w:rsidR="00081283" w:rsidRPr="00F144FC">
                    <w:rPr>
                      <w:rFonts w:cs="Arial"/>
                      <w:color w:val="000000" w:themeColor="text1"/>
                    </w:rPr>
                    <w:t xml:space="preserve"> children)</w:t>
                  </w:r>
                </w:p>
              </w:tc>
              <w:tc>
                <w:tcPr>
                  <w:tcW w:w="2314" w:type="dxa"/>
                </w:tcPr>
                <w:p w14:paraId="6028D39A" w14:textId="0980998D" w:rsidR="00081283" w:rsidRPr="00F144FC" w:rsidRDefault="00BF1BDF" w:rsidP="00A62E63">
                  <w:pPr>
                    <w:pStyle w:val="TableRowCentered"/>
                    <w:ind w:left="0"/>
                    <w:jc w:val="left"/>
                    <w:rPr>
                      <w:rFonts w:cs="Arial"/>
                      <w:color w:val="000000" w:themeColor="text1"/>
                    </w:rPr>
                  </w:pPr>
                  <w:r w:rsidRPr="00F144FC">
                    <w:rPr>
                      <w:rFonts w:cs="Arial"/>
                      <w:color w:val="000000" w:themeColor="text1"/>
                    </w:rPr>
                    <w:t>4.0</w:t>
                  </w:r>
                </w:p>
              </w:tc>
              <w:tc>
                <w:tcPr>
                  <w:tcW w:w="2315" w:type="dxa"/>
                </w:tcPr>
                <w:p w14:paraId="194AB648" w14:textId="3D1C0365" w:rsidR="00081283" w:rsidRPr="00F144FC" w:rsidRDefault="00F144FC" w:rsidP="00A62E63">
                  <w:pPr>
                    <w:pStyle w:val="TableRowCentered"/>
                    <w:ind w:left="0"/>
                    <w:jc w:val="left"/>
                    <w:rPr>
                      <w:rFonts w:cs="Arial"/>
                      <w:color w:val="000000" w:themeColor="text1"/>
                    </w:rPr>
                  </w:pPr>
                  <w:r w:rsidRPr="00F144FC">
                    <w:rPr>
                      <w:rFonts w:cs="Arial"/>
                      <w:color w:val="000000" w:themeColor="text1"/>
                    </w:rPr>
                    <w:t>4.0</w:t>
                  </w:r>
                </w:p>
              </w:tc>
            </w:tr>
          </w:tbl>
          <w:p w14:paraId="3D25A8D1" w14:textId="77777777" w:rsidR="00081283" w:rsidRPr="00F144FC" w:rsidRDefault="00081283" w:rsidP="00A62E63">
            <w:pPr>
              <w:pStyle w:val="TableRowCentered"/>
              <w:ind w:left="0"/>
              <w:jc w:val="left"/>
              <w:rPr>
                <w:rFonts w:cs="Arial"/>
                <w:color w:val="000000" w:themeColor="text1"/>
              </w:rPr>
            </w:pPr>
          </w:p>
          <w:p w14:paraId="68CA3629" w14:textId="4A989E0E" w:rsidR="00081283" w:rsidRPr="00962FC4" w:rsidRDefault="00081283" w:rsidP="00F144FC">
            <w:pPr>
              <w:pStyle w:val="TableRowCentered"/>
              <w:ind w:left="0"/>
              <w:jc w:val="left"/>
              <w:rPr>
                <w:color w:val="FF0000"/>
                <w:sz w:val="22"/>
                <w:szCs w:val="22"/>
              </w:rPr>
            </w:pPr>
            <w:r w:rsidRPr="00F144FC">
              <w:rPr>
                <w:rFonts w:cs="Arial"/>
                <w:color w:val="000000" w:themeColor="text1"/>
              </w:rPr>
              <w:t xml:space="preserve">Pupils wellbeing scores across Reception </w:t>
            </w:r>
            <w:r w:rsidR="00F144FC" w:rsidRPr="00F144FC">
              <w:rPr>
                <w:rFonts w:cs="Arial"/>
                <w:color w:val="000000" w:themeColor="text1"/>
              </w:rPr>
              <w:t>have increased. Year 1 and Year 2 heave remained the same</w:t>
            </w:r>
            <w:r w:rsidRPr="00F144FC">
              <w:rPr>
                <w:rFonts w:cs="Arial"/>
                <w:color w:val="000000" w:themeColor="text1"/>
              </w:rPr>
              <w:t xml:space="preserve">. School to continue to deliver RSHE lessons and nurture lessons. School to look at expanding nurture lessons. </w:t>
            </w:r>
          </w:p>
        </w:tc>
      </w:tr>
      <w:tr w:rsidR="00081283" w14:paraId="137B8A99" w14:textId="77777777" w:rsidTr="00A62E63">
        <w:tc>
          <w:tcPr>
            <w:tcW w:w="73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D82245" w14:textId="77777777" w:rsidR="00081283" w:rsidRDefault="00081283" w:rsidP="00A62E63">
            <w:pPr>
              <w:pStyle w:val="TableRow"/>
              <w:rPr>
                <w:sz w:val="22"/>
                <w:szCs w:val="22"/>
              </w:rPr>
            </w:pPr>
            <w:r w:rsidRPr="00E27862">
              <w:rPr>
                <w:rFonts w:cs="Arial"/>
                <w:color w:val="auto"/>
              </w:rPr>
              <w:t>To achieve and sustain improved attendance for all pupils, particularly our disadvantaged pupils.</w:t>
            </w:r>
          </w:p>
        </w:tc>
        <w:tc>
          <w:tcPr>
            <w:tcW w:w="71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A764EB" w14:textId="77777777" w:rsidR="00081283" w:rsidRPr="00F144FC" w:rsidRDefault="00081283" w:rsidP="00A62E63">
            <w:pPr>
              <w:shd w:val="clear" w:color="auto" w:fill="FFFFFF"/>
              <w:suppressAutoHyphens w:val="0"/>
              <w:autoSpaceDN/>
              <w:spacing w:after="0" w:line="240" w:lineRule="auto"/>
              <w:rPr>
                <w:rFonts w:cs="Arial"/>
                <w:color w:val="000000" w:themeColor="text1"/>
              </w:rPr>
            </w:pPr>
            <w:r w:rsidRPr="00F144FC">
              <w:rPr>
                <w:rFonts w:cs="Arial"/>
                <w:color w:val="000000" w:themeColor="text1"/>
              </w:rPr>
              <w:t>School attendance reported:</w:t>
            </w:r>
          </w:p>
          <w:p w14:paraId="16D75986" w14:textId="77777777" w:rsidR="00081283" w:rsidRPr="00F144FC" w:rsidRDefault="00081283" w:rsidP="00A62E63">
            <w:pPr>
              <w:shd w:val="clear" w:color="auto" w:fill="FFFFFF"/>
              <w:suppressAutoHyphens w:val="0"/>
              <w:autoSpaceDN/>
              <w:spacing w:after="0" w:line="240" w:lineRule="auto"/>
              <w:rPr>
                <w:rFonts w:cs="Arial"/>
                <w:color w:val="000000" w:themeColor="text1"/>
              </w:rPr>
            </w:pPr>
            <w:r w:rsidRPr="00F144FC">
              <w:rPr>
                <w:rFonts w:cs="Arial"/>
                <w:color w:val="000000" w:themeColor="text1"/>
              </w:rPr>
              <w:t xml:space="preserve">21/22= 4 of the 16 (25%) pupil premium students were persistent absentees </w:t>
            </w:r>
          </w:p>
          <w:p w14:paraId="5E922E76" w14:textId="1C9D1522" w:rsidR="00081283" w:rsidRPr="00F144FC" w:rsidRDefault="00081283" w:rsidP="00A62E63">
            <w:pPr>
              <w:shd w:val="clear" w:color="auto" w:fill="FFFFFF"/>
              <w:suppressAutoHyphens w:val="0"/>
              <w:autoSpaceDN/>
              <w:spacing w:after="0" w:line="240" w:lineRule="auto"/>
              <w:rPr>
                <w:rFonts w:cs="Arial"/>
                <w:color w:val="000000" w:themeColor="text1"/>
              </w:rPr>
            </w:pPr>
            <w:r w:rsidRPr="00F144FC">
              <w:rPr>
                <w:rFonts w:cs="Arial"/>
                <w:color w:val="000000" w:themeColor="text1"/>
              </w:rPr>
              <w:t xml:space="preserve">22/23= 5 of the 24 (20.8%) pupil premium students were persistent absentees </w:t>
            </w:r>
          </w:p>
          <w:p w14:paraId="26A2E1C4" w14:textId="77777777" w:rsidR="00F144FC" w:rsidRPr="00F144FC" w:rsidRDefault="00F144FC" w:rsidP="00F144FC">
            <w:pPr>
              <w:shd w:val="clear" w:color="auto" w:fill="FFFFFF"/>
              <w:suppressAutoHyphens w:val="0"/>
              <w:autoSpaceDN/>
              <w:spacing w:after="0" w:line="240" w:lineRule="auto"/>
              <w:rPr>
                <w:rFonts w:cs="Arial"/>
                <w:color w:val="000000" w:themeColor="text1"/>
              </w:rPr>
            </w:pPr>
            <w:r w:rsidRPr="00F144FC">
              <w:rPr>
                <w:rFonts w:cs="Arial"/>
                <w:color w:val="000000" w:themeColor="text1"/>
              </w:rPr>
              <w:t xml:space="preserve">23/24 = 2 out of 21 (9.5%) pupil premium students were persistent absentees </w:t>
            </w:r>
          </w:p>
          <w:p w14:paraId="290D5B55" w14:textId="77777777" w:rsidR="00081283" w:rsidRPr="00F144FC" w:rsidRDefault="00081283" w:rsidP="00A62E63">
            <w:pPr>
              <w:shd w:val="clear" w:color="auto" w:fill="FFFFFF"/>
              <w:suppressAutoHyphens w:val="0"/>
              <w:autoSpaceDN/>
              <w:spacing w:after="0" w:line="240" w:lineRule="auto"/>
              <w:rPr>
                <w:rFonts w:cs="Arial"/>
                <w:color w:val="000000" w:themeColor="text1"/>
              </w:rPr>
            </w:pPr>
          </w:p>
          <w:p w14:paraId="00758607" w14:textId="51320A6F" w:rsidR="00081283" w:rsidRPr="00F144FC" w:rsidRDefault="00081283" w:rsidP="00A62E63">
            <w:pPr>
              <w:shd w:val="clear" w:color="auto" w:fill="FFFFFF"/>
              <w:suppressAutoHyphens w:val="0"/>
              <w:autoSpaceDN/>
              <w:spacing w:after="0" w:line="240" w:lineRule="auto"/>
              <w:rPr>
                <w:rFonts w:cs="Arial"/>
                <w:color w:val="000000" w:themeColor="text1"/>
              </w:rPr>
            </w:pPr>
            <w:r w:rsidRPr="00F144FC">
              <w:rPr>
                <w:rFonts w:cs="Arial"/>
                <w:color w:val="000000" w:themeColor="text1"/>
              </w:rPr>
              <w:t xml:space="preserve">The number of persistent absentees has decreased by from by 4.2% </w:t>
            </w:r>
            <w:r w:rsidR="00F144FC" w:rsidRPr="00F144FC">
              <w:rPr>
                <w:rFonts w:cs="Arial"/>
                <w:color w:val="000000" w:themeColor="text1"/>
              </w:rPr>
              <w:t xml:space="preserve">between 2021 / 22 and 2022 / 23 </w:t>
            </w:r>
            <w:r w:rsidRPr="00F144FC">
              <w:rPr>
                <w:rFonts w:cs="Arial"/>
                <w:color w:val="000000" w:themeColor="text1"/>
              </w:rPr>
              <w:t xml:space="preserve">showing a positive improvement. </w:t>
            </w:r>
            <w:r w:rsidR="00F144FC" w:rsidRPr="00F144FC">
              <w:rPr>
                <w:rFonts w:cs="Arial"/>
                <w:color w:val="000000" w:themeColor="text1"/>
              </w:rPr>
              <w:t>It has decreased 11.3% between 2022 / 23 and 2023 / 24.</w:t>
            </w:r>
          </w:p>
          <w:p w14:paraId="37A36C39" w14:textId="77777777" w:rsidR="00081283" w:rsidRPr="00A24A34" w:rsidRDefault="00081283" w:rsidP="00A62E63">
            <w:pPr>
              <w:autoSpaceDN/>
              <w:spacing w:before="60" w:after="60" w:line="240" w:lineRule="auto"/>
              <w:ind w:right="57"/>
              <w:rPr>
                <w:sz w:val="22"/>
                <w:szCs w:val="22"/>
              </w:rPr>
            </w:pPr>
          </w:p>
        </w:tc>
      </w:tr>
    </w:tbl>
    <w:p w14:paraId="0580BDE4" w14:textId="4CC98418" w:rsidR="00081283" w:rsidRDefault="00081283" w:rsidP="00081283">
      <w:pPr>
        <w:pStyle w:val="Heading2"/>
      </w:pPr>
      <w:r>
        <w:t>Externally provided programmes</w:t>
      </w:r>
    </w:p>
    <w:p w14:paraId="3701910C" w14:textId="77777777" w:rsidR="00081283" w:rsidRDefault="00081283" w:rsidP="00081283">
      <w:pPr>
        <w:rPr>
          <w:i/>
          <w:iCs/>
        </w:rPr>
      </w:pPr>
      <w:r w:rsidRPr="07FFD3D3">
        <w:rPr>
          <w:i/>
          <w:iCs/>
        </w:rPr>
        <w:t xml:space="preserve">Please include the names of any non-DfE programmes that you used your pupil premium (or recovery premium) to fund in the previous academic year. </w:t>
      </w:r>
    </w:p>
    <w:tbl>
      <w:tblPr>
        <w:tblW w:w="5000" w:type="pct"/>
        <w:tblCellMar>
          <w:left w:w="10" w:type="dxa"/>
          <w:right w:w="10" w:type="dxa"/>
        </w:tblCellMar>
        <w:tblLook w:val="04A0" w:firstRow="1" w:lastRow="0" w:firstColumn="1" w:lastColumn="0" w:noHBand="0" w:noVBand="1"/>
      </w:tblPr>
      <w:tblGrid>
        <w:gridCol w:w="7391"/>
        <w:gridCol w:w="7169"/>
      </w:tblGrid>
      <w:tr w:rsidR="00081283" w14:paraId="74F48A7B" w14:textId="77777777" w:rsidTr="00A62E63">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2263C32" w14:textId="77777777" w:rsidR="00081283" w:rsidRDefault="00081283" w:rsidP="00A62E63">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FE024E8" w14:textId="77777777" w:rsidR="00081283" w:rsidRDefault="00081283" w:rsidP="00A62E63">
            <w:pPr>
              <w:pStyle w:val="TableHeader"/>
              <w:jc w:val="left"/>
            </w:pPr>
            <w:r>
              <w:t>Provider</w:t>
            </w:r>
          </w:p>
        </w:tc>
      </w:tr>
      <w:tr w:rsidR="00081283" w14:paraId="3CFB12D0" w14:textId="77777777" w:rsidTr="00A62E63">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8558" w14:textId="77777777" w:rsidR="00081283" w:rsidRDefault="00081283" w:rsidP="00A62E63">
            <w:pPr>
              <w:pStyle w:val="TableRow"/>
            </w:pPr>
            <w:r>
              <w:t>N/A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57A20" w14:textId="77777777" w:rsidR="00081283" w:rsidRDefault="00081283" w:rsidP="00A62E63">
            <w:pPr>
              <w:pStyle w:val="TableRowCentered"/>
              <w:jc w:val="left"/>
            </w:pPr>
          </w:p>
        </w:tc>
      </w:tr>
      <w:tr w:rsidR="00081283" w14:paraId="574C62EF" w14:textId="77777777" w:rsidTr="00A62E63">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D92B4" w14:textId="77777777" w:rsidR="00081283" w:rsidRDefault="00081283" w:rsidP="00A62E63">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1AE67" w14:textId="77777777" w:rsidR="00081283" w:rsidRDefault="00081283" w:rsidP="00A62E63">
            <w:pPr>
              <w:pStyle w:val="TableRowCentered"/>
              <w:jc w:val="left"/>
            </w:pPr>
          </w:p>
        </w:tc>
      </w:tr>
      <w:bookmarkEnd w:id="15"/>
      <w:bookmarkEnd w:id="16"/>
      <w:bookmarkEnd w:id="17"/>
    </w:tbl>
    <w:p w14:paraId="7D75F627" w14:textId="77777777" w:rsidR="00081283" w:rsidRPr="00081283" w:rsidRDefault="00081283" w:rsidP="00081283"/>
    <w:sectPr w:rsidR="00081283" w:rsidRPr="00081283" w:rsidSect="00BF473B">
      <w:headerReference w:type="default" r:id="rId27"/>
      <w:footerReference w:type="default" r:id="rId28"/>
      <w:pgSz w:w="16838" w:h="11906" w:orient="landscape"/>
      <w:pgMar w:top="1134" w:right="1134" w:bottom="1276"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7C5B" w14:textId="77777777" w:rsidR="00A62E63" w:rsidRDefault="00A62E63">
      <w:pPr>
        <w:spacing w:after="0" w:line="240" w:lineRule="auto"/>
      </w:pPr>
      <w:r>
        <w:separator/>
      </w:r>
    </w:p>
  </w:endnote>
  <w:endnote w:type="continuationSeparator" w:id="0">
    <w:p w14:paraId="3D0B605C" w14:textId="77777777" w:rsidR="00A62E63" w:rsidRDefault="00A62E63">
      <w:pPr>
        <w:spacing w:after="0" w:line="240" w:lineRule="auto"/>
      </w:pPr>
      <w:r>
        <w:continuationSeparator/>
      </w:r>
    </w:p>
  </w:endnote>
  <w:endnote w:type="continuationNotice" w:id="1">
    <w:p w14:paraId="5937F05E" w14:textId="77777777" w:rsidR="00A62E63" w:rsidRDefault="00A62E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1928AE8A" w:rsidR="00A62E63" w:rsidRDefault="00A62E63">
    <w:pPr>
      <w:pStyle w:val="Footer"/>
      <w:ind w:firstLine="4513"/>
    </w:pPr>
    <w:r>
      <w:fldChar w:fldCharType="begin"/>
    </w:r>
    <w:r>
      <w:instrText xml:space="preserve"> PAGE </w:instrText>
    </w:r>
    <w:r>
      <w:fldChar w:fldCharType="separate"/>
    </w:r>
    <w:r w:rsidR="008C22D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CDFE4" w14:textId="77777777" w:rsidR="00A62E63" w:rsidRDefault="00A62E63">
      <w:pPr>
        <w:spacing w:after="0" w:line="240" w:lineRule="auto"/>
      </w:pPr>
      <w:r>
        <w:separator/>
      </w:r>
    </w:p>
  </w:footnote>
  <w:footnote w:type="continuationSeparator" w:id="0">
    <w:p w14:paraId="527955F0" w14:textId="77777777" w:rsidR="00A62E63" w:rsidRDefault="00A62E63">
      <w:pPr>
        <w:spacing w:after="0" w:line="240" w:lineRule="auto"/>
      </w:pPr>
      <w:r>
        <w:continuationSeparator/>
      </w:r>
    </w:p>
  </w:footnote>
  <w:footnote w:type="continuationNotice" w:id="1">
    <w:p w14:paraId="7C8694AF" w14:textId="77777777" w:rsidR="00A62E63" w:rsidRDefault="00A62E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A62E63" w:rsidRDefault="00A62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A561647"/>
    <w:multiLevelType w:val="hybridMultilevel"/>
    <w:tmpl w:val="8E584EE8"/>
    <w:lvl w:ilvl="0" w:tplc="23386A1E">
      <w:numFmt w:val="bullet"/>
      <w:lvlText w:val=""/>
      <w:lvlJc w:val="left"/>
      <w:pPr>
        <w:ind w:left="417" w:hanging="360"/>
      </w:pPr>
      <w:rPr>
        <w:rFonts w:ascii="Symbol" w:eastAsia="Times New Roman" w:hAnsi="Symbol" w:cs="Times New Roman"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6D3426CA"/>
    <w:multiLevelType w:val="hybridMultilevel"/>
    <w:tmpl w:val="27682360"/>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3" w15:restartNumberingAfterBreak="0">
    <w:nsid w:val="6FB013D9"/>
    <w:multiLevelType w:val="multilevel"/>
    <w:tmpl w:val="30A44D24"/>
    <w:lvl w:ilvl="0">
      <w:start w:val="1"/>
      <w:numFmt w:val="lowerRoman"/>
      <w:lvlText w:val="%1)"/>
      <w:lvlJc w:val="left"/>
      <w:pPr>
        <w:ind w:left="777" w:hanging="72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0"/>
  </w:num>
  <w:num w:numId="6">
    <w:abstractNumId w:val="8"/>
  </w:num>
  <w:num w:numId="7">
    <w:abstractNumId w:val="10"/>
  </w:num>
  <w:num w:numId="8">
    <w:abstractNumId w:val="16"/>
  </w:num>
  <w:num w:numId="9">
    <w:abstractNumId w:val="14"/>
  </w:num>
  <w:num w:numId="10">
    <w:abstractNumId w:val="11"/>
  </w:num>
  <w:num w:numId="11">
    <w:abstractNumId w:val="3"/>
  </w:num>
  <w:num w:numId="12">
    <w:abstractNumId w:val="15"/>
  </w:num>
  <w:num w:numId="13">
    <w:abstractNumId w:val="9"/>
  </w:num>
  <w:num w:numId="14">
    <w:abstractNumId w:val="12"/>
  </w:num>
  <w:num w:numId="15">
    <w:abstractNumId w:val="7"/>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A45"/>
    <w:rsid w:val="000223B0"/>
    <w:rsid w:val="00023729"/>
    <w:rsid w:val="000243B4"/>
    <w:rsid w:val="000452EB"/>
    <w:rsid w:val="000463AE"/>
    <w:rsid w:val="000507A3"/>
    <w:rsid w:val="00060A62"/>
    <w:rsid w:val="00064366"/>
    <w:rsid w:val="00066B73"/>
    <w:rsid w:val="00071481"/>
    <w:rsid w:val="00075FAE"/>
    <w:rsid w:val="00081283"/>
    <w:rsid w:val="00082F38"/>
    <w:rsid w:val="0008384B"/>
    <w:rsid w:val="000929EC"/>
    <w:rsid w:val="00093CDE"/>
    <w:rsid w:val="000A6379"/>
    <w:rsid w:val="000D22B0"/>
    <w:rsid w:val="000D35C9"/>
    <w:rsid w:val="000D520C"/>
    <w:rsid w:val="000D6596"/>
    <w:rsid w:val="000E6DF0"/>
    <w:rsid w:val="0010100D"/>
    <w:rsid w:val="001037CB"/>
    <w:rsid w:val="0010629E"/>
    <w:rsid w:val="00115538"/>
    <w:rsid w:val="00120AB1"/>
    <w:rsid w:val="00123A7F"/>
    <w:rsid w:val="001278D0"/>
    <w:rsid w:val="00127F72"/>
    <w:rsid w:val="00140646"/>
    <w:rsid w:val="00147A4B"/>
    <w:rsid w:val="001671ED"/>
    <w:rsid w:val="001727FA"/>
    <w:rsid w:val="00173D4C"/>
    <w:rsid w:val="00183218"/>
    <w:rsid w:val="00185988"/>
    <w:rsid w:val="001873B6"/>
    <w:rsid w:val="001901E6"/>
    <w:rsid w:val="00191305"/>
    <w:rsid w:val="00195B55"/>
    <w:rsid w:val="001A2FE8"/>
    <w:rsid w:val="001A33AC"/>
    <w:rsid w:val="001C1C51"/>
    <w:rsid w:val="001E0ECA"/>
    <w:rsid w:val="001E206F"/>
    <w:rsid w:val="001E5750"/>
    <w:rsid w:val="001E7739"/>
    <w:rsid w:val="001F3DB4"/>
    <w:rsid w:val="00204F40"/>
    <w:rsid w:val="00205DEF"/>
    <w:rsid w:val="00216C8A"/>
    <w:rsid w:val="00226317"/>
    <w:rsid w:val="00231539"/>
    <w:rsid w:val="002523E3"/>
    <w:rsid w:val="00261F21"/>
    <w:rsid w:val="00266FA5"/>
    <w:rsid w:val="00290C51"/>
    <w:rsid w:val="002920F4"/>
    <w:rsid w:val="002940F3"/>
    <w:rsid w:val="00295842"/>
    <w:rsid w:val="002B3574"/>
    <w:rsid w:val="002B6B74"/>
    <w:rsid w:val="002B6D16"/>
    <w:rsid w:val="002C300A"/>
    <w:rsid w:val="002C6AE7"/>
    <w:rsid w:val="002D2D4B"/>
    <w:rsid w:val="002D3805"/>
    <w:rsid w:val="002D5E8A"/>
    <w:rsid w:val="002E66AE"/>
    <w:rsid w:val="002E7763"/>
    <w:rsid w:val="002F5842"/>
    <w:rsid w:val="003046F3"/>
    <w:rsid w:val="00306CB7"/>
    <w:rsid w:val="0030733B"/>
    <w:rsid w:val="003111F5"/>
    <w:rsid w:val="00333DB1"/>
    <w:rsid w:val="00336200"/>
    <w:rsid w:val="00337418"/>
    <w:rsid w:val="003431B3"/>
    <w:rsid w:val="00351D83"/>
    <w:rsid w:val="00353E46"/>
    <w:rsid w:val="003576C4"/>
    <w:rsid w:val="00366AB0"/>
    <w:rsid w:val="0037437C"/>
    <w:rsid w:val="0038146B"/>
    <w:rsid w:val="0038340F"/>
    <w:rsid w:val="00384457"/>
    <w:rsid w:val="00384F24"/>
    <w:rsid w:val="00393DA7"/>
    <w:rsid w:val="003962DC"/>
    <w:rsid w:val="003A32B2"/>
    <w:rsid w:val="003A47DD"/>
    <w:rsid w:val="003A634F"/>
    <w:rsid w:val="003B588A"/>
    <w:rsid w:val="003B621D"/>
    <w:rsid w:val="003C4388"/>
    <w:rsid w:val="003C4C27"/>
    <w:rsid w:val="003C7F7B"/>
    <w:rsid w:val="003D2EAA"/>
    <w:rsid w:val="003E054C"/>
    <w:rsid w:val="003E27A0"/>
    <w:rsid w:val="003E3872"/>
    <w:rsid w:val="004025FF"/>
    <w:rsid w:val="004044AA"/>
    <w:rsid w:val="004044C8"/>
    <w:rsid w:val="00404F3F"/>
    <w:rsid w:val="00410B5D"/>
    <w:rsid w:val="00413BEC"/>
    <w:rsid w:val="0042265E"/>
    <w:rsid w:val="00424ED7"/>
    <w:rsid w:val="00425258"/>
    <w:rsid w:val="00426217"/>
    <w:rsid w:val="00431A80"/>
    <w:rsid w:val="00435A89"/>
    <w:rsid w:val="00452267"/>
    <w:rsid w:val="00453307"/>
    <w:rsid w:val="00457E36"/>
    <w:rsid w:val="00462F8F"/>
    <w:rsid w:val="00481D56"/>
    <w:rsid w:val="00490408"/>
    <w:rsid w:val="004A2348"/>
    <w:rsid w:val="004A2E2C"/>
    <w:rsid w:val="004A4C45"/>
    <w:rsid w:val="004B0485"/>
    <w:rsid w:val="004B10AD"/>
    <w:rsid w:val="004B428E"/>
    <w:rsid w:val="004B4D37"/>
    <w:rsid w:val="004B6270"/>
    <w:rsid w:val="004C42F0"/>
    <w:rsid w:val="004C4D63"/>
    <w:rsid w:val="004C6389"/>
    <w:rsid w:val="004E1D73"/>
    <w:rsid w:val="0051286E"/>
    <w:rsid w:val="00516021"/>
    <w:rsid w:val="00516457"/>
    <w:rsid w:val="00520A0C"/>
    <w:rsid w:val="00530E37"/>
    <w:rsid w:val="005464A1"/>
    <w:rsid w:val="00546F12"/>
    <w:rsid w:val="0055339C"/>
    <w:rsid w:val="00562B3C"/>
    <w:rsid w:val="00564E40"/>
    <w:rsid w:val="005750E2"/>
    <w:rsid w:val="0058313F"/>
    <w:rsid w:val="00585859"/>
    <w:rsid w:val="00586FBC"/>
    <w:rsid w:val="005879C9"/>
    <w:rsid w:val="005A3C6B"/>
    <w:rsid w:val="005B1EA5"/>
    <w:rsid w:val="005D7176"/>
    <w:rsid w:val="005E1F24"/>
    <w:rsid w:val="005E73F1"/>
    <w:rsid w:val="005F07EF"/>
    <w:rsid w:val="00600B2E"/>
    <w:rsid w:val="00607CEB"/>
    <w:rsid w:val="00613299"/>
    <w:rsid w:val="0061762D"/>
    <w:rsid w:val="00634238"/>
    <w:rsid w:val="00634543"/>
    <w:rsid w:val="006358C6"/>
    <w:rsid w:val="00635FBC"/>
    <w:rsid w:val="00637728"/>
    <w:rsid w:val="0064113A"/>
    <w:rsid w:val="00644002"/>
    <w:rsid w:val="006458B1"/>
    <w:rsid w:val="00650529"/>
    <w:rsid w:val="00650BAB"/>
    <w:rsid w:val="00651737"/>
    <w:rsid w:val="006573AC"/>
    <w:rsid w:val="006671BF"/>
    <w:rsid w:val="00672A7D"/>
    <w:rsid w:val="0067688E"/>
    <w:rsid w:val="00681416"/>
    <w:rsid w:val="006A06F5"/>
    <w:rsid w:val="006A0ED2"/>
    <w:rsid w:val="006B0945"/>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6F6961"/>
    <w:rsid w:val="00711BE3"/>
    <w:rsid w:val="00724FA7"/>
    <w:rsid w:val="00725415"/>
    <w:rsid w:val="00727505"/>
    <w:rsid w:val="00731581"/>
    <w:rsid w:val="00741B9E"/>
    <w:rsid w:val="00743DAC"/>
    <w:rsid w:val="0075337B"/>
    <w:rsid w:val="00755CD4"/>
    <w:rsid w:val="00757F96"/>
    <w:rsid w:val="0076775C"/>
    <w:rsid w:val="00785285"/>
    <w:rsid w:val="0078529D"/>
    <w:rsid w:val="00787DC1"/>
    <w:rsid w:val="00794070"/>
    <w:rsid w:val="007A713B"/>
    <w:rsid w:val="007B64E5"/>
    <w:rsid w:val="007C2F04"/>
    <w:rsid w:val="007F5B8B"/>
    <w:rsid w:val="00817E9A"/>
    <w:rsid w:val="00825989"/>
    <w:rsid w:val="00830D57"/>
    <w:rsid w:val="00854C49"/>
    <w:rsid w:val="00860B07"/>
    <w:rsid w:val="008616F6"/>
    <w:rsid w:val="0086259C"/>
    <w:rsid w:val="00870F7E"/>
    <w:rsid w:val="00883F24"/>
    <w:rsid w:val="00897E1F"/>
    <w:rsid w:val="008B2CB4"/>
    <w:rsid w:val="008B6404"/>
    <w:rsid w:val="008C22DD"/>
    <w:rsid w:val="008C2C21"/>
    <w:rsid w:val="008C7DD3"/>
    <w:rsid w:val="008E000B"/>
    <w:rsid w:val="008E2926"/>
    <w:rsid w:val="008E35C6"/>
    <w:rsid w:val="008E3F49"/>
    <w:rsid w:val="008F243B"/>
    <w:rsid w:val="008F4675"/>
    <w:rsid w:val="00904A66"/>
    <w:rsid w:val="00914C4D"/>
    <w:rsid w:val="0092287F"/>
    <w:rsid w:val="00923840"/>
    <w:rsid w:val="0092495B"/>
    <w:rsid w:val="0092660E"/>
    <w:rsid w:val="00933C69"/>
    <w:rsid w:val="00936519"/>
    <w:rsid w:val="00941DA3"/>
    <w:rsid w:val="00942C0C"/>
    <w:rsid w:val="009539E3"/>
    <w:rsid w:val="00954A5E"/>
    <w:rsid w:val="009551B2"/>
    <w:rsid w:val="00962FC4"/>
    <w:rsid w:val="00964625"/>
    <w:rsid w:val="00981C1D"/>
    <w:rsid w:val="00985025"/>
    <w:rsid w:val="0099109C"/>
    <w:rsid w:val="009936DB"/>
    <w:rsid w:val="00993CFC"/>
    <w:rsid w:val="009A1DC2"/>
    <w:rsid w:val="009C0914"/>
    <w:rsid w:val="009C27E5"/>
    <w:rsid w:val="009C4A9E"/>
    <w:rsid w:val="009D71E8"/>
    <w:rsid w:val="009E104B"/>
    <w:rsid w:val="009E7DE4"/>
    <w:rsid w:val="009F3BBD"/>
    <w:rsid w:val="00A063DD"/>
    <w:rsid w:val="00A112B5"/>
    <w:rsid w:val="00A14EEA"/>
    <w:rsid w:val="00A413E9"/>
    <w:rsid w:val="00A44FBB"/>
    <w:rsid w:val="00A46E9F"/>
    <w:rsid w:val="00A50104"/>
    <w:rsid w:val="00A522E0"/>
    <w:rsid w:val="00A62E63"/>
    <w:rsid w:val="00A63579"/>
    <w:rsid w:val="00A638AC"/>
    <w:rsid w:val="00A70507"/>
    <w:rsid w:val="00A727E5"/>
    <w:rsid w:val="00A748B5"/>
    <w:rsid w:val="00A80A32"/>
    <w:rsid w:val="00A82A98"/>
    <w:rsid w:val="00A82D16"/>
    <w:rsid w:val="00A95F75"/>
    <w:rsid w:val="00A96B83"/>
    <w:rsid w:val="00AA355B"/>
    <w:rsid w:val="00AA42E5"/>
    <w:rsid w:val="00AA5872"/>
    <w:rsid w:val="00AB24FA"/>
    <w:rsid w:val="00AD7B5A"/>
    <w:rsid w:val="00AE229F"/>
    <w:rsid w:val="00AF5E20"/>
    <w:rsid w:val="00B002FA"/>
    <w:rsid w:val="00B00327"/>
    <w:rsid w:val="00B024B3"/>
    <w:rsid w:val="00B11DE8"/>
    <w:rsid w:val="00B179ED"/>
    <w:rsid w:val="00B20E18"/>
    <w:rsid w:val="00B225FE"/>
    <w:rsid w:val="00B572C4"/>
    <w:rsid w:val="00B60858"/>
    <w:rsid w:val="00B74D4E"/>
    <w:rsid w:val="00B80219"/>
    <w:rsid w:val="00BA19A5"/>
    <w:rsid w:val="00BC67F6"/>
    <w:rsid w:val="00BD2004"/>
    <w:rsid w:val="00BD4B12"/>
    <w:rsid w:val="00BE2F92"/>
    <w:rsid w:val="00BF0D5F"/>
    <w:rsid w:val="00BF1BDF"/>
    <w:rsid w:val="00BF473B"/>
    <w:rsid w:val="00C01857"/>
    <w:rsid w:val="00C11EB4"/>
    <w:rsid w:val="00C12746"/>
    <w:rsid w:val="00C25827"/>
    <w:rsid w:val="00C31BB8"/>
    <w:rsid w:val="00C33206"/>
    <w:rsid w:val="00C373EA"/>
    <w:rsid w:val="00C4266A"/>
    <w:rsid w:val="00C621C1"/>
    <w:rsid w:val="00C62989"/>
    <w:rsid w:val="00C65CBB"/>
    <w:rsid w:val="00C80F37"/>
    <w:rsid w:val="00C97A7F"/>
    <w:rsid w:val="00CB5B17"/>
    <w:rsid w:val="00CC4443"/>
    <w:rsid w:val="00CC5CAF"/>
    <w:rsid w:val="00D06874"/>
    <w:rsid w:val="00D173F7"/>
    <w:rsid w:val="00D20203"/>
    <w:rsid w:val="00D204E0"/>
    <w:rsid w:val="00D209B7"/>
    <w:rsid w:val="00D21354"/>
    <w:rsid w:val="00D22400"/>
    <w:rsid w:val="00D278BA"/>
    <w:rsid w:val="00D31EA5"/>
    <w:rsid w:val="00D32BF9"/>
    <w:rsid w:val="00D33FE5"/>
    <w:rsid w:val="00D3578A"/>
    <w:rsid w:val="00D4027A"/>
    <w:rsid w:val="00D4463C"/>
    <w:rsid w:val="00D45D4F"/>
    <w:rsid w:val="00D501EE"/>
    <w:rsid w:val="00D517DC"/>
    <w:rsid w:val="00D5200E"/>
    <w:rsid w:val="00D5590D"/>
    <w:rsid w:val="00D618E4"/>
    <w:rsid w:val="00D61DA5"/>
    <w:rsid w:val="00D875ED"/>
    <w:rsid w:val="00D877D0"/>
    <w:rsid w:val="00D90013"/>
    <w:rsid w:val="00D91B9C"/>
    <w:rsid w:val="00D92C1B"/>
    <w:rsid w:val="00D94CC7"/>
    <w:rsid w:val="00DA1AF4"/>
    <w:rsid w:val="00DB0C60"/>
    <w:rsid w:val="00DC641A"/>
    <w:rsid w:val="00DD6B7D"/>
    <w:rsid w:val="00DD6E14"/>
    <w:rsid w:val="00DE15AC"/>
    <w:rsid w:val="00E04E30"/>
    <w:rsid w:val="00E061EC"/>
    <w:rsid w:val="00E13E51"/>
    <w:rsid w:val="00E43EAD"/>
    <w:rsid w:val="00E62DCB"/>
    <w:rsid w:val="00E651DD"/>
    <w:rsid w:val="00E66558"/>
    <w:rsid w:val="00E70D81"/>
    <w:rsid w:val="00E726A6"/>
    <w:rsid w:val="00E86F05"/>
    <w:rsid w:val="00E877FD"/>
    <w:rsid w:val="00EA3A2A"/>
    <w:rsid w:val="00EB4556"/>
    <w:rsid w:val="00EB64C8"/>
    <w:rsid w:val="00ED5108"/>
    <w:rsid w:val="00EE1097"/>
    <w:rsid w:val="00F012CA"/>
    <w:rsid w:val="00F01752"/>
    <w:rsid w:val="00F0355A"/>
    <w:rsid w:val="00F144FC"/>
    <w:rsid w:val="00F24A7E"/>
    <w:rsid w:val="00F33DC0"/>
    <w:rsid w:val="00F418CA"/>
    <w:rsid w:val="00F62587"/>
    <w:rsid w:val="00F63E9E"/>
    <w:rsid w:val="00F76843"/>
    <w:rsid w:val="00F776E1"/>
    <w:rsid w:val="00F925EB"/>
    <w:rsid w:val="00F97F0C"/>
    <w:rsid w:val="00FA6DD0"/>
    <w:rsid w:val="00FB2837"/>
    <w:rsid w:val="00FC28DF"/>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240257352">
      <w:bodyDiv w:val="1"/>
      <w:marLeft w:val="0"/>
      <w:marRight w:val="0"/>
      <w:marTop w:val="0"/>
      <w:marBottom w:val="0"/>
      <w:divBdr>
        <w:top w:val="none" w:sz="0" w:space="0" w:color="auto"/>
        <w:left w:val="none" w:sz="0" w:space="0" w:color="auto"/>
        <w:bottom w:val="none" w:sz="0" w:space="0" w:color="auto"/>
        <w:right w:val="none" w:sz="0" w:space="0" w:color="auto"/>
      </w:divBdr>
    </w:div>
    <w:div w:id="862520188">
      <w:bodyDiv w:val="1"/>
      <w:marLeft w:val="0"/>
      <w:marRight w:val="0"/>
      <w:marTop w:val="0"/>
      <w:marBottom w:val="0"/>
      <w:divBdr>
        <w:top w:val="none" w:sz="0" w:space="0" w:color="auto"/>
        <w:left w:val="none" w:sz="0" w:space="0" w:color="auto"/>
        <w:bottom w:val="none" w:sz="0" w:space="0" w:color="auto"/>
        <w:right w:val="none" w:sz="0" w:space="0" w:color="auto"/>
      </w:divBdr>
    </w:div>
    <w:div w:id="1355114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hapecoding.com/research/" TargetMode="External"/><Relationship Id="rId13" Type="http://schemas.openxmlformats.org/officeDocument/2006/relationships/hyperlink" Target="https://educationendowmentfoundation.org.uk/projects-and-evaluation/projects/1stclassnumber?utm_source=/projects-and-evaluation/projects/1stclassnumber&amp;utm_medium=search&amp;utm_campaign=site_search&amp;search_term=1st" TargetMode="External"/><Relationship Id="rId18" Type="http://schemas.openxmlformats.org/officeDocument/2006/relationships/hyperlink" Target="https://educationendowmentfoundation.org.uk/education-evidence/teaching-learning-toolkit/arts-participation" TargetMode="External"/><Relationship Id="rId26" Type="http://schemas.openxmlformats.org/officeDocument/2006/relationships/hyperlink" Target="https://assets.publishing.service.gov.uk/government/uploads/system/uploads/attachment_data/file/818679/An_Unequal_Playing_Field_report.pdf" TargetMode="External"/><Relationship Id="rId3" Type="http://schemas.openxmlformats.org/officeDocument/2006/relationships/settings" Target="settings.xml"/><Relationship Id="rId21" Type="http://schemas.openxmlformats.org/officeDocument/2006/relationships/hyperlink" Target="https://assets.publishing.service.gov.uk/government/uploads/system/uploads/attachment_data/file/818679/An_Unequal_Playing_Field_report.pdf" TargetMode="External"/><Relationship Id="rId7" Type="http://schemas.openxmlformats.org/officeDocument/2006/relationships/hyperlink" Target="https://educationendowmentfoundation.org.uk/evidence-summaries/teaching-learning-toolkit/phonics/" TargetMode="External"/><Relationship Id="rId12" Type="http://schemas.openxmlformats.org/officeDocument/2006/relationships/hyperlink" Target="https://educationendowmentfoundation.org.uk/evidence-summaries/teaching-learning-toolkit/phonics/" TargetMode="External"/><Relationship Id="rId17" Type="http://schemas.openxmlformats.org/officeDocument/2006/relationships/hyperlink" Target="https://educationendowmentfoundation.org.uk/education-evidence/teaching-learning-toolkit/extending-school-time" TargetMode="External"/><Relationship Id="rId25" Type="http://schemas.openxmlformats.org/officeDocument/2006/relationships/hyperlink" Target="https://educationendowmentfoundation.org.uk/projects-and-evaluation/projects/childrens-university" TargetMode="External"/><Relationship Id="rId2" Type="http://schemas.openxmlformats.org/officeDocument/2006/relationships/styles" Target="styles.xml"/><Relationship Id="rId16" Type="http://schemas.openxmlformats.org/officeDocument/2006/relationships/hyperlink" Target="https://www.gov.uk/government/publications/school-attendance/framework-for-securing-full-attendance-actions-for-schools-and-local-authorities" TargetMode="External"/><Relationship Id="rId20" Type="http://schemas.openxmlformats.org/officeDocument/2006/relationships/hyperlink" Target="https://educationendowmentfoundation.org.uk/projects-and-evaluation/projects/childrens-universit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projects-and-evaluation/projects/lexia" TargetMode="External"/><Relationship Id="rId24" Type="http://schemas.openxmlformats.org/officeDocument/2006/relationships/hyperlink" Target="https://educationendowmentfoundation.org.uk/education-evidence/teaching-learning-toolkit/physical-activity" TargetMode="External"/><Relationship Id="rId5" Type="http://schemas.openxmlformats.org/officeDocument/2006/relationships/footnotes" Target="footnotes.xml"/><Relationship Id="rId15" Type="http://schemas.openxmlformats.org/officeDocument/2006/relationships/hyperlink" Target="https://new.boxallprofile.org/" TargetMode="External"/><Relationship Id="rId23" Type="http://schemas.openxmlformats.org/officeDocument/2006/relationships/hyperlink" Target="https://educationendowmentfoundation.org.uk/education-evidence/teaching-learning-toolkit/arts-participation" TargetMode="External"/><Relationship Id="rId28" Type="http://schemas.openxmlformats.org/officeDocument/2006/relationships/footer" Target="footer1.xml"/><Relationship Id="rId10" Type="http://schemas.openxmlformats.org/officeDocument/2006/relationships/hyperlink" Target="https://educationendowmentfoundation.org.uk/education-evidence/guidance-reports/early-maths" TargetMode="External"/><Relationship Id="rId19" Type="http://schemas.openxmlformats.org/officeDocument/2006/relationships/hyperlink" Target="https://educationendowmentfoundation.org.uk/education-evidence/teaching-learning-toolkit/physical-activity"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guidance-reports/literacy-ks-1" TargetMode="External"/><Relationship Id="rId14" Type="http://schemas.openxmlformats.org/officeDocument/2006/relationships/hyperlink" Target="https://educationendowmentfoundation.org.uk/education-evidence/teaching-learning-toolkit/social-and-emotional-learning" TargetMode="External"/><Relationship Id="rId22" Type="http://schemas.openxmlformats.org/officeDocument/2006/relationships/hyperlink" Target="https://educationendowmentfoundation.org.uk/education-evidence/teaching-learning-toolkit/extending-school-time"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3965</Words>
  <Characters>22606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Lynn Lawton</cp:lastModifiedBy>
  <cp:revision>2</cp:revision>
  <cp:lastPrinted>2014-09-17T21:26:00Z</cp:lastPrinted>
  <dcterms:created xsi:type="dcterms:W3CDTF">2024-09-02T11:11:00Z</dcterms:created>
  <dcterms:modified xsi:type="dcterms:W3CDTF">2024-09-02T11:11:00Z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